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15D" w:rsidRPr="00244224"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jc w:val="center"/>
        <w:rPr>
          <w:rFonts w:ascii="Bookman Old Style" w:hAnsi="Bookman Old Style"/>
          <w:b/>
          <w:color w:val="002060"/>
          <w:sz w:val="36"/>
          <w:szCs w:val="36"/>
        </w:rPr>
      </w:pPr>
      <w:r w:rsidRPr="00244224">
        <w:rPr>
          <w:rFonts w:ascii="Bookman Old Style" w:hAnsi="Bookman Old Style" w:cstheme="minorHAnsi"/>
          <w:b/>
          <w:color w:val="002060"/>
          <w:sz w:val="36"/>
          <w:szCs w:val="36"/>
        </w:rPr>
        <w:t>MIN</w:t>
      </w:r>
      <w:r w:rsidRPr="00244224">
        <w:rPr>
          <w:rFonts w:ascii="Bookman Old Style" w:hAnsi="Bookman Old Style"/>
          <w:b/>
          <w:color w:val="002060"/>
          <w:sz w:val="36"/>
          <w:szCs w:val="36"/>
        </w:rPr>
        <w:t>ISTERE DU DEVELOPEMENT DURABLE, DE L’ECONOMIE, DE LA PROMOTION DES INVESTISSEMENTS ET DE LA PROSPECTIVE</w:t>
      </w:r>
    </w:p>
    <w:p w:rsidR="008F715D" w:rsidRPr="00244224"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jc w:val="center"/>
        <w:rPr>
          <w:rFonts w:ascii="Bookman Old Style" w:hAnsi="Bookman Old Style"/>
          <w:color w:val="002060"/>
          <w:sz w:val="36"/>
          <w:szCs w:val="36"/>
        </w:rPr>
      </w:pPr>
      <w:r w:rsidRPr="00244224">
        <w:rPr>
          <w:rFonts w:ascii="Bookman Old Style" w:hAnsi="Bookman Old Style"/>
          <w:color w:val="002060"/>
          <w:sz w:val="36"/>
          <w:szCs w:val="36"/>
        </w:rPr>
        <w:t>-----------------</w:t>
      </w:r>
    </w:p>
    <w:p w:rsidR="008F715D" w:rsidRPr="00244224"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jc w:val="center"/>
        <w:rPr>
          <w:rFonts w:ascii="Bookman Old Style" w:hAnsi="Bookman Old Style"/>
          <w:b/>
          <w:color w:val="002060"/>
          <w:sz w:val="36"/>
          <w:szCs w:val="36"/>
        </w:rPr>
      </w:pPr>
      <w:r w:rsidRPr="00244224">
        <w:rPr>
          <w:rFonts w:ascii="Bookman Old Style" w:hAnsi="Bookman Old Style"/>
          <w:b/>
          <w:color w:val="002060"/>
          <w:sz w:val="36"/>
          <w:szCs w:val="36"/>
        </w:rPr>
        <w:t>DIRECTION GENERALE DE L’ECONOMIE</w:t>
      </w:r>
    </w:p>
    <w:p w:rsidR="008F715D" w:rsidRPr="00244224"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jc w:val="center"/>
        <w:rPr>
          <w:rFonts w:ascii="Bookman Old Style" w:hAnsi="Bookman Old Style"/>
          <w:b/>
          <w:color w:val="002060"/>
          <w:sz w:val="36"/>
          <w:szCs w:val="36"/>
        </w:rPr>
      </w:pPr>
      <w:r w:rsidRPr="00244224">
        <w:rPr>
          <w:rFonts w:ascii="Bookman Old Style" w:hAnsi="Bookman Old Style"/>
          <w:b/>
          <w:color w:val="002060"/>
          <w:sz w:val="36"/>
          <w:szCs w:val="36"/>
        </w:rPr>
        <w:t>ET DE LA POLITIQUE FISCALE</w:t>
      </w: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r>
        <w:rPr>
          <w:noProof/>
          <w:sz w:val="28"/>
          <w:szCs w:val="28"/>
        </w:rPr>
        <w:pict>
          <v:shapetype id="_x0000_t202" coordsize="21600,21600" o:spt="202" path="m,l,21600r21600,l21600,xe">
            <v:stroke joinstyle="miter"/>
            <v:path gradientshapeok="t" o:connecttype="rect"/>
          </v:shapetype>
          <v:shape id="Text Box 6" o:spid="_x0000_s1026" type="#_x0000_t202" style="position:absolute;left:0;text-align:left;margin-left:157.6pt;margin-top:10.9pt;width:117.55pt;height:94.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9ShtwIAALs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" filled="f" stroked="f">
            <v:textbox>
              <w:txbxContent>
                <w:p w:rsidR="008F715D" w:rsidRDefault="008F715D" w:rsidP="008F715D">
                  <w:r>
                    <w:rPr>
                      <w:noProof/>
                    </w:rPr>
                    <w:drawing>
                      <wp:inline distT="0" distB="0" distL="0" distR="0">
                        <wp:extent cx="1095375" cy="1076306"/>
                        <wp:effectExtent l="0" t="0" r="0" b="0"/>
                        <wp:docPr id="30" name="Image 1" descr="C:\Users\user\Desktop\DGEPF nouv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GEPF nouv logo2.jpg"/>
                                <pic:cNvPicPr>
                                  <a:picLocks noChangeAspect="1" noChangeArrowheads="1"/>
                                </pic:cNvPicPr>
                              </pic:nvPicPr>
                              <pic:blipFill>
                                <a:blip r:embed="rId5"/>
                                <a:srcRect/>
                                <a:stretch>
                                  <a:fillRect/>
                                </a:stretch>
                              </pic:blipFill>
                              <pic:spPr bwMode="auto">
                                <a:xfrm>
                                  <a:off x="0" y="0"/>
                                  <a:ext cx="1099087" cy="1079953"/>
                                </a:xfrm>
                                <a:prstGeom prst="rect">
                                  <a:avLst/>
                                </a:prstGeom>
                                <a:noFill/>
                                <a:ln w="9525">
                                  <a:noFill/>
                                  <a:miter lim="800000"/>
                                  <a:headEnd/>
                                  <a:tailEnd/>
                                </a:ln>
                              </pic:spPr>
                            </pic:pic>
                          </a:graphicData>
                        </a:graphic>
                      </wp:inline>
                    </w:drawing>
                  </w:r>
                </w:p>
              </w:txbxContent>
            </v:textbox>
          </v:shape>
        </w:pict>
      </w: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spacing w:after="120"/>
        <w:ind w:firstLine="708"/>
        <w:rPr>
          <w:b/>
          <w:color w:val="002060"/>
          <w:sz w:val="40"/>
          <w:szCs w:val="40"/>
        </w:rPr>
      </w:pPr>
      <w:r w:rsidRPr="00A52E27">
        <w:rPr>
          <w:b/>
          <w:color w:val="002060"/>
          <w:sz w:val="40"/>
          <w:szCs w:val="40"/>
        </w:rPr>
        <w:t>NOTE DE CONJONCTURE SECTORIELLE</w:t>
      </w: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spacing w:after="120"/>
        <w:jc w:val="center"/>
        <w:rPr>
          <w:b/>
          <w:color w:val="002060"/>
          <w:sz w:val="30"/>
          <w:szCs w:val="30"/>
        </w:rPr>
      </w:pPr>
      <w:r>
        <w:rPr>
          <w:b/>
          <w:color w:val="002060"/>
          <w:sz w:val="30"/>
          <w:szCs w:val="30"/>
        </w:rPr>
        <w:t>A FIN JUIN</w:t>
      </w:r>
      <w:r w:rsidRPr="00A52E27">
        <w:rPr>
          <w:b/>
          <w:color w:val="002060"/>
          <w:sz w:val="30"/>
          <w:szCs w:val="30"/>
        </w:rPr>
        <w:t xml:space="preserve"> 2016</w:t>
      </w: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ind w:firstLine="567"/>
        <w:jc w:val="both"/>
        <w:rPr>
          <w:sz w:val="28"/>
          <w:szCs w:val="28"/>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rPr>
          <w:b/>
          <w:bCs/>
          <w:sz w:val="26"/>
          <w:szCs w:val="26"/>
        </w:rPr>
      </w:pP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rPr>
          <w:b/>
          <w:bCs/>
          <w:sz w:val="26"/>
          <w:szCs w:val="26"/>
        </w:rPr>
      </w:pPr>
    </w:p>
    <w:p w:rsidR="008F715D"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jc w:val="center"/>
        <w:rPr>
          <w:b/>
          <w:bCs/>
          <w:sz w:val="20"/>
          <w:szCs w:val="20"/>
        </w:rPr>
      </w:pPr>
      <w:r>
        <w:rPr>
          <w:b/>
          <w:bCs/>
          <w:sz w:val="20"/>
          <w:szCs w:val="20"/>
        </w:rPr>
        <w:t>Août</w:t>
      </w:r>
      <w:r w:rsidRPr="00A52E27">
        <w:rPr>
          <w:b/>
          <w:bCs/>
          <w:sz w:val="20"/>
          <w:szCs w:val="20"/>
        </w:rPr>
        <w:t xml:space="preserve"> 2016</w:t>
      </w:r>
    </w:p>
    <w:p w:rsidR="008F715D" w:rsidRPr="00A52E27" w:rsidRDefault="008F715D" w:rsidP="008F715D">
      <w:pPr>
        <w:pBdr>
          <w:top w:val="single" w:sz="24" w:space="0" w:color="00B0F0"/>
          <w:left w:val="single" w:sz="24" w:space="4" w:color="00B0F0"/>
          <w:bottom w:val="single" w:sz="24" w:space="1" w:color="00B0F0"/>
          <w:right w:val="single" w:sz="24" w:space="26" w:color="00B0F0"/>
        </w:pBdr>
        <w:shd w:val="clear" w:color="auto" w:fill="B6DDE8" w:themeFill="accent5" w:themeFillTint="66"/>
        <w:jc w:val="center"/>
        <w:rPr>
          <w:b/>
          <w:bCs/>
          <w:sz w:val="20"/>
          <w:szCs w:val="20"/>
        </w:rPr>
      </w:pPr>
    </w:p>
    <w:p w:rsidR="008F715D" w:rsidRDefault="008F715D" w:rsidP="008F715D">
      <w:pPr>
        <w:spacing w:after="200" w:line="276" w:lineRule="auto"/>
        <w:rPr>
          <w:b/>
          <w:color w:val="FFFFFF" w:themeColor="background1"/>
          <w:sz w:val="28"/>
          <w:szCs w:val="28"/>
        </w:rPr>
      </w:pPr>
      <w:r>
        <w:rPr>
          <w:b/>
          <w:color w:val="FFFFFF" w:themeColor="background1"/>
          <w:sz w:val="28"/>
          <w:szCs w:val="28"/>
        </w:rPr>
        <w:br w:type="page"/>
      </w:r>
    </w:p>
    <w:p w:rsidR="008F715D" w:rsidRPr="00A52E27" w:rsidRDefault="008F715D" w:rsidP="008F715D">
      <w:pPr>
        <w:shd w:val="clear" w:color="auto" w:fill="365F91" w:themeFill="accent1" w:themeFillShade="BF"/>
        <w:spacing w:after="240"/>
        <w:rPr>
          <w:b/>
          <w:color w:val="FFFFFF" w:themeColor="background1"/>
          <w:sz w:val="28"/>
          <w:szCs w:val="28"/>
        </w:rPr>
      </w:pPr>
      <w:r w:rsidRPr="00A52E27">
        <w:rPr>
          <w:b/>
          <w:color w:val="FFFFFF" w:themeColor="background1"/>
          <w:sz w:val="28"/>
          <w:szCs w:val="28"/>
        </w:rPr>
        <w:lastRenderedPageBreak/>
        <w:t>DIRECTION DE PUBLICATION</w:t>
      </w:r>
    </w:p>
    <w:p w:rsidR="008F715D" w:rsidRPr="00A52E27" w:rsidRDefault="008F715D" w:rsidP="008F715D">
      <w:pPr>
        <w:spacing w:after="240"/>
        <w:rPr>
          <w:b/>
          <w:sz w:val="28"/>
          <w:szCs w:val="28"/>
        </w:rPr>
      </w:pPr>
      <w:r w:rsidRPr="00A52E27">
        <w:rPr>
          <w:b/>
          <w:sz w:val="28"/>
          <w:szCs w:val="28"/>
        </w:rPr>
        <w:t>Ministre du Développement Durable, de l’Économie, de la Promotion des Investissements et de la Prospective</w:t>
      </w:r>
    </w:p>
    <w:p w:rsidR="008F715D" w:rsidRPr="00A52E27" w:rsidRDefault="008F715D" w:rsidP="008F715D">
      <w:pPr>
        <w:spacing w:after="240"/>
        <w:rPr>
          <w:sz w:val="28"/>
          <w:szCs w:val="28"/>
        </w:rPr>
      </w:pPr>
      <w:r w:rsidRPr="00A52E27">
        <w:rPr>
          <w:sz w:val="28"/>
          <w:szCs w:val="28"/>
        </w:rPr>
        <w:t xml:space="preserve">M. Régis IMMONGAULT </w:t>
      </w:r>
    </w:p>
    <w:p w:rsidR="008F715D" w:rsidRPr="00A52E27" w:rsidRDefault="008F715D" w:rsidP="008F715D">
      <w:pPr>
        <w:spacing w:after="240"/>
        <w:rPr>
          <w:b/>
          <w:sz w:val="28"/>
          <w:szCs w:val="28"/>
        </w:rPr>
      </w:pPr>
      <w:r w:rsidRPr="00A52E27">
        <w:rPr>
          <w:b/>
          <w:sz w:val="28"/>
          <w:szCs w:val="28"/>
        </w:rPr>
        <w:t>Ministres déléguées</w:t>
      </w:r>
    </w:p>
    <w:p w:rsidR="008F715D" w:rsidRPr="00A52E27" w:rsidRDefault="008F715D" w:rsidP="008F715D">
      <w:pPr>
        <w:spacing w:after="240"/>
        <w:rPr>
          <w:sz w:val="28"/>
          <w:szCs w:val="28"/>
        </w:rPr>
      </w:pPr>
      <w:r w:rsidRPr="00A52E27">
        <w:rPr>
          <w:sz w:val="28"/>
          <w:szCs w:val="28"/>
        </w:rPr>
        <w:t>Mmes : Marie Julie BILOGO BI-NZENDONG</w:t>
      </w:r>
    </w:p>
    <w:p w:rsidR="008F715D" w:rsidRPr="00A52E27" w:rsidRDefault="008F715D" w:rsidP="008F715D">
      <w:pPr>
        <w:spacing w:after="240"/>
        <w:rPr>
          <w:sz w:val="28"/>
          <w:szCs w:val="28"/>
        </w:rPr>
      </w:pPr>
      <w:r w:rsidRPr="00A52E27">
        <w:rPr>
          <w:sz w:val="28"/>
          <w:szCs w:val="28"/>
        </w:rPr>
        <w:tab/>
        <w:t xml:space="preserve">   Chantal ABENGDANG MEBALE</w:t>
      </w:r>
    </w:p>
    <w:p w:rsidR="008F715D" w:rsidRPr="00A52E27" w:rsidRDefault="008F715D" w:rsidP="008F715D">
      <w:pPr>
        <w:spacing w:after="240"/>
        <w:rPr>
          <w:b/>
          <w:sz w:val="28"/>
          <w:szCs w:val="28"/>
        </w:rPr>
      </w:pPr>
      <w:r w:rsidRPr="00A52E27">
        <w:rPr>
          <w:b/>
          <w:sz w:val="28"/>
          <w:szCs w:val="28"/>
        </w:rPr>
        <w:t>Directeur Général de l’Economie et de la Politique Fiscale</w:t>
      </w:r>
    </w:p>
    <w:p w:rsidR="008F715D" w:rsidRPr="00A52E27" w:rsidRDefault="008F715D" w:rsidP="008F715D">
      <w:pPr>
        <w:spacing w:after="240"/>
        <w:rPr>
          <w:sz w:val="28"/>
          <w:szCs w:val="28"/>
        </w:rPr>
      </w:pPr>
      <w:r w:rsidRPr="00A52E27">
        <w:rPr>
          <w:sz w:val="28"/>
          <w:szCs w:val="28"/>
        </w:rPr>
        <w:t>M. Jean Baptiste NGOLO ALLINI</w:t>
      </w:r>
    </w:p>
    <w:p w:rsidR="008F715D" w:rsidRPr="00A52E27" w:rsidRDefault="008F715D" w:rsidP="008F715D">
      <w:pPr>
        <w:spacing w:after="240"/>
        <w:rPr>
          <w:b/>
          <w:sz w:val="28"/>
          <w:szCs w:val="28"/>
        </w:rPr>
      </w:pPr>
      <w:r w:rsidRPr="00A52E27">
        <w:rPr>
          <w:b/>
          <w:sz w:val="28"/>
          <w:szCs w:val="28"/>
        </w:rPr>
        <w:t>Directeur Général Adjoint</w:t>
      </w:r>
    </w:p>
    <w:p w:rsidR="008F715D" w:rsidRPr="00A52E27" w:rsidRDefault="008F715D" w:rsidP="008F715D">
      <w:pPr>
        <w:spacing w:after="240"/>
        <w:rPr>
          <w:sz w:val="28"/>
          <w:szCs w:val="28"/>
        </w:rPr>
      </w:pPr>
      <w:r w:rsidRPr="00A52E27">
        <w:rPr>
          <w:sz w:val="28"/>
          <w:szCs w:val="28"/>
        </w:rPr>
        <w:t>Mme. Aurélie KASSAT</w:t>
      </w:r>
      <w:r>
        <w:rPr>
          <w:sz w:val="28"/>
          <w:szCs w:val="28"/>
        </w:rPr>
        <w:t xml:space="preserve"> épouse NGUEMA</w:t>
      </w:r>
    </w:p>
    <w:p w:rsidR="008F715D" w:rsidRPr="00A52E27" w:rsidRDefault="008F715D" w:rsidP="008F715D">
      <w:pPr>
        <w:spacing w:after="120"/>
        <w:rPr>
          <w:sz w:val="28"/>
          <w:szCs w:val="28"/>
        </w:rPr>
      </w:pPr>
    </w:p>
    <w:p w:rsidR="008F715D" w:rsidRPr="00A52E27" w:rsidRDefault="008F715D" w:rsidP="008F715D">
      <w:pPr>
        <w:spacing w:after="120"/>
        <w:rPr>
          <w:sz w:val="28"/>
          <w:szCs w:val="28"/>
        </w:rPr>
      </w:pPr>
    </w:p>
    <w:p w:rsidR="008F715D" w:rsidRPr="00A52E27" w:rsidRDefault="008F715D" w:rsidP="008F715D">
      <w:pPr>
        <w:spacing w:after="120"/>
        <w:rPr>
          <w:sz w:val="28"/>
          <w:szCs w:val="28"/>
        </w:rPr>
      </w:pPr>
    </w:p>
    <w:p w:rsidR="008F715D" w:rsidRPr="00A52E27" w:rsidRDefault="008F715D" w:rsidP="008F715D">
      <w:pPr>
        <w:spacing w:after="120"/>
        <w:rPr>
          <w:sz w:val="28"/>
          <w:szCs w:val="28"/>
        </w:rPr>
      </w:pPr>
    </w:p>
    <w:p w:rsidR="008F715D" w:rsidRPr="00A52E27" w:rsidRDefault="008F715D" w:rsidP="008F715D">
      <w:pPr>
        <w:spacing w:after="120"/>
        <w:rPr>
          <w:sz w:val="28"/>
          <w:szCs w:val="28"/>
        </w:rPr>
      </w:pPr>
    </w:p>
    <w:p w:rsidR="008F715D" w:rsidRPr="00A52E27" w:rsidRDefault="008F715D" w:rsidP="008F715D">
      <w:pPr>
        <w:spacing w:after="120"/>
        <w:rPr>
          <w:sz w:val="28"/>
          <w:szCs w:val="28"/>
        </w:rPr>
      </w:pPr>
    </w:p>
    <w:p w:rsidR="008F715D" w:rsidRPr="00A52E27" w:rsidRDefault="008F715D" w:rsidP="008F715D">
      <w:pPr>
        <w:spacing w:after="200" w:line="276" w:lineRule="auto"/>
        <w:rPr>
          <w:sz w:val="10"/>
          <w:szCs w:val="10"/>
        </w:rPr>
      </w:pPr>
    </w:p>
    <w:p w:rsidR="008F715D" w:rsidRPr="00A52E27" w:rsidRDefault="008F715D" w:rsidP="008F715D">
      <w:pPr>
        <w:spacing w:after="200" w:line="276" w:lineRule="auto"/>
        <w:rPr>
          <w:sz w:val="10"/>
          <w:szCs w:val="10"/>
        </w:rPr>
      </w:pPr>
      <w:r>
        <w:rPr>
          <w:noProof/>
          <w:sz w:val="10"/>
          <w:szCs w:val="10"/>
        </w:rPr>
        <w:pict>
          <v:group id="Group 7" o:spid="_x0000_s1027" style="position:absolute;margin-left:38.75pt;margin-top:11.75pt;width:400.9pt;height:7.25pt;rotation:180;z-index:251661312" coordorigin="6731,1331" coordsize="415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">
            <v:rect id="Rectangle 3" o:spid="_x0000_s1028" style="position:absolute;left:8205;top:1331;width:2682;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Gfb0A&#10;AADbAAAADwAAAGRycy9kb3ducmV2LnhtbERPTYvCMBC9C/6HMIIX0VQPrlSjiLKr160Fr0MzpsVm&#10;UppY6783B8Hj431vdr2tRUetrxwrmM8SEMSF0xUbBfnld7oC4QOyxtoxKXiRh912ONhgqt2T/6nL&#10;ghExhH2KCsoQmlRKX5Rk0c9cQxy5m2sthghbI3WLzxhua7lIkqW0WHFsKLGhQ0nFPXtYBfXxsUrM&#10;a9lN/gziD+Wn/JhdlRqP+v0aRKA+fMUf91krWMT18Uv8AXL7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sxGfb0AAADbAAAADwAAAAAAAAAAAAAAAACYAgAAZHJzL2Rvd25yZXYu&#10;eG1sUEsFBgAAAAAEAAQA9QAAAIIDAAAAAA==&#10;" fillcolor="#17365d [2415]" stroked="f"/>
            <v:rect id="Rectangle 4" o:spid="_x0000_s1029" style="position:absolute;left:7686;top:1333;width:1214;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1kMAA&#10;AADbAAAADwAAAGRycy9kb3ducmV2LnhtbESPQYvCMBSE7wv+h/AEb2uqLrJUo4gilr3ZFc+P5tmW&#10;Ni8liVr/vREEj8PMfMMs171pxY2cry0rmIwTEMSF1TWXCk7/++9fED4ga2wtk4IHeVivBl9LTLW9&#10;85FueShFhLBPUUEVQpdK6YuKDPqx7Yijd7HOYIjSlVI7vEe4aeU0SebSYM1xocKOthUVTX41Cprz&#10;kf4chlm+O2RcZpjMz81JqdGw3yxABOrDJ/xuZ1rB9AdeX+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C1kMAAAADbAAAADwAAAAAAAAAAAAAAAACYAgAAZHJzL2Rvd25y&#10;ZXYueG1sUEsFBgAAAAAEAAQA9QAAAIUDAAAAAA==&#10;" fillcolor="#548dd4 [1951]" stroked="f"/>
            <v:rect id="Rectangle 5" o:spid="_x0000_s1030" style="position:absolute;left:7083;top:1333;width:1122;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835sIA&#10;AADbAAAADwAAAGRycy9kb3ducmV2LnhtbESPQYvCMBSE7wv+h/AEb2uqiyLVKKK4FA/Cqhdvj+bZ&#10;FpOX2kSt/94Iwh6HmfmGmS1aa8SdGl85VjDoJyCIc6crLhQcD5vvCQgfkDUax6TgSR4W887XDFPt&#10;HvxH930oRISwT1FBGUKdSunzkiz6vquJo3d2jcUQZVNI3eAjwq2RwyQZS4sVx4USa1qVlF/2N6ug&#10;uO1+k/X5ymFruMrW5ueUjVipXrddTkEEasN/+NPOtILhGN5f4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zfmwgAAANsAAAAPAAAAAAAAAAAAAAAAAJgCAABkcnMvZG93&#10;bnJldi54bWxQSwUGAAAAAAQABAD1AAAAhwMAAAAA&#10;" fillcolor="#8db3e2 [1311]" stroked="f"/>
            <v:rect id="Rectangle 6" o:spid="_x0000_s1031" style="position:absolute;left:6731;top:1331;width:776;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jkcMA&#10;AADbAAAADwAAAGRycy9kb3ducmV2LnhtbESPQWsCMRSE74L/ITzBm2b1oGVrlCIIerDQbbE9Pjav&#10;u4ublzWJbvrvG0HwOMzMN8xqE00rbuR8Y1nBbJqBIC6tbrhS8PW5m7yA8AFZY2uZFPyRh816OFhh&#10;rm3PH3QrQiUShH2OCuoQulxKX9Zk0E9tR5y8X+sMhiRdJbXDPsFNK+dZtpAGG04LNXa0rak8F1ej&#10;oA+zeOiP1fkQv98L+sGTay8npcaj+PYKIlAMz/CjvdcK5ku4f0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6jkcMAAADbAAAADwAAAAAAAAAAAAAAAACYAgAAZHJzL2Rv&#10;d25yZXYueG1sUEsFBgAAAAAEAAQA9QAAAIgDAAAAAA==&#10;" fillcolor="#c6d9f1 [671]" stroked="f"/>
          </v:group>
        </w:pict>
      </w:r>
    </w:p>
    <w:p w:rsidR="008F715D" w:rsidRPr="00A52E27" w:rsidRDefault="008F715D" w:rsidP="008F715D">
      <w:pPr>
        <w:spacing w:after="200" w:line="276" w:lineRule="auto"/>
        <w:jc w:val="center"/>
        <w:rPr>
          <w:b/>
          <w:sz w:val="28"/>
          <w:szCs w:val="28"/>
        </w:rPr>
      </w:pPr>
      <w:r w:rsidRPr="00A52E27">
        <w:rPr>
          <w:b/>
          <w:sz w:val="28"/>
          <w:szCs w:val="28"/>
        </w:rPr>
        <w:t>Contact :</w:t>
      </w:r>
    </w:p>
    <w:p w:rsidR="008F715D" w:rsidRPr="00A52E27" w:rsidRDefault="008F715D" w:rsidP="008F715D">
      <w:pPr>
        <w:spacing w:line="276" w:lineRule="auto"/>
        <w:jc w:val="center"/>
        <w:rPr>
          <w:b/>
          <w:sz w:val="22"/>
          <w:szCs w:val="22"/>
        </w:rPr>
      </w:pPr>
      <w:r w:rsidRPr="00A52E27">
        <w:rPr>
          <w:b/>
          <w:sz w:val="22"/>
          <w:szCs w:val="22"/>
        </w:rPr>
        <w:t>Direction Générale de l’Economie et de la Politique Fiscale</w:t>
      </w:r>
    </w:p>
    <w:p w:rsidR="008F715D" w:rsidRPr="00A52E27" w:rsidRDefault="008F715D" w:rsidP="008F715D">
      <w:pPr>
        <w:spacing w:line="276" w:lineRule="auto"/>
        <w:jc w:val="center"/>
        <w:rPr>
          <w:sz w:val="22"/>
          <w:szCs w:val="22"/>
        </w:rPr>
      </w:pPr>
      <w:r w:rsidRPr="00A52E27">
        <w:rPr>
          <w:sz w:val="22"/>
          <w:szCs w:val="22"/>
        </w:rPr>
        <w:t>Immeuble de la Solde, centre ville</w:t>
      </w:r>
    </w:p>
    <w:p w:rsidR="008F715D" w:rsidRPr="00A52E27" w:rsidRDefault="008F715D" w:rsidP="008F715D">
      <w:pPr>
        <w:spacing w:line="276" w:lineRule="auto"/>
        <w:jc w:val="center"/>
        <w:rPr>
          <w:sz w:val="22"/>
          <w:szCs w:val="22"/>
        </w:rPr>
      </w:pPr>
      <w:r w:rsidRPr="00A52E27">
        <w:rPr>
          <w:sz w:val="22"/>
          <w:szCs w:val="22"/>
        </w:rPr>
        <w:t>B.P. 1204 Libreville Gabon</w:t>
      </w:r>
    </w:p>
    <w:p w:rsidR="008F715D" w:rsidRPr="00A52E27" w:rsidRDefault="008F715D" w:rsidP="008F715D">
      <w:pPr>
        <w:spacing w:line="276" w:lineRule="auto"/>
        <w:jc w:val="center"/>
        <w:rPr>
          <w:sz w:val="22"/>
          <w:szCs w:val="22"/>
        </w:rPr>
      </w:pPr>
      <w:r w:rsidRPr="00A52E27">
        <w:rPr>
          <w:sz w:val="22"/>
          <w:szCs w:val="22"/>
        </w:rPr>
        <w:t>Tel : (+241) 01.79.52.28 /</w:t>
      </w:r>
    </w:p>
    <w:p w:rsidR="008F715D" w:rsidRPr="00A52E27" w:rsidRDefault="008F715D" w:rsidP="008F715D">
      <w:pPr>
        <w:spacing w:line="276" w:lineRule="auto"/>
        <w:jc w:val="center"/>
        <w:rPr>
          <w:sz w:val="22"/>
          <w:szCs w:val="22"/>
        </w:rPr>
      </w:pPr>
      <w:r w:rsidRPr="00A52E27">
        <w:rPr>
          <w:sz w:val="22"/>
          <w:szCs w:val="22"/>
        </w:rPr>
        <w:t>Site internet : www.dgepf.ga</w:t>
      </w:r>
    </w:p>
    <w:p w:rsidR="008F715D" w:rsidRPr="00A52E27" w:rsidRDefault="008F715D" w:rsidP="008F715D">
      <w:pPr>
        <w:spacing w:after="240"/>
        <w:jc w:val="both"/>
        <w:rPr>
          <w:sz w:val="28"/>
          <w:szCs w:val="28"/>
        </w:rPr>
      </w:pPr>
    </w:p>
    <w:p w:rsidR="008F715D" w:rsidRPr="00A52E27" w:rsidRDefault="008F715D" w:rsidP="008F715D">
      <w:pPr>
        <w:spacing w:after="240"/>
        <w:jc w:val="both"/>
        <w:rPr>
          <w:sz w:val="28"/>
          <w:szCs w:val="28"/>
        </w:rPr>
      </w:pPr>
    </w:p>
    <w:p w:rsidR="008F715D" w:rsidRPr="00A52E27" w:rsidRDefault="008F715D" w:rsidP="008F715D">
      <w:pPr>
        <w:spacing w:after="240"/>
        <w:jc w:val="both"/>
        <w:rPr>
          <w:sz w:val="28"/>
          <w:szCs w:val="28"/>
        </w:rPr>
      </w:pPr>
    </w:p>
    <w:p w:rsidR="008F715D" w:rsidRPr="00A52E27" w:rsidRDefault="008F715D" w:rsidP="008F715D">
      <w:pPr>
        <w:spacing w:after="240"/>
        <w:jc w:val="both"/>
        <w:rPr>
          <w:sz w:val="28"/>
          <w:szCs w:val="28"/>
        </w:rPr>
      </w:pPr>
    </w:p>
    <w:p w:rsidR="008F715D" w:rsidRPr="00A52E27" w:rsidRDefault="008F715D" w:rsidP="008F715D">
      <w:pPr>
        <w:spacing w:after="240"/>
        <w:jc w:val="both"/>
        <w:rPr>
          <w:sz w:val="28"/>
          <w:szCs w:val="28"/>
        </w:rPr>
      </w:pPr>
    </w:p>
    <w:p w:rsidR="008F715D" w:rsidRPr="00A52E27" w:rsidRDefault="008F715D" w:rsidP="008F715D">
      <w:pPr>
        <w:spacing w:after="240"/>
        <w:jc w:val="both"/>
        <w:rPr>
          <w:sz w:val="28"/>
          <w:szCs w:val="28"/>
        </w:rPr>
      </w:pPr>
    </w:p>
    <w:p w:rsidR="008F715D" w:rsidRPr="00A52E27" w:rsidRDefault="008F715D" w:rsidP="008F715D">
      <w:pPr>
        <w:spacing w:after="240"/>
        <w:jc w:val="both"/>
        <w:rPr>
          <w:sz w:val="28"/>
          <w:szCs w:val="28"/>
        </w:rPr>
      </w:pPr>
    </w:p>
    <w:p w:rsidR="008F715D" w:rsidRPr="00A52E27" w:rsidRDefault="008F715D" w:rsidP="008F715D">
      <w:pPr>
        <w:spacing w:after="240"/>
        <w:jc w:val="both"/>
        <w:rPr>
          <w:sz w:val="28"/>
          <w:szCs w:val="28"/>
        </w:rPr>
      </w:pPr>
    </w:p>
    <w:p w:rsidR="008F715D" w:rsidRPr="00A52E27" w:rsidRDefault="008F715D" w:rsidP="008F715D">
      <w:pPr>
        <w:spacing w:after="240"/>
        <w:jc w:val="both"/>
        <w:rPr>
          <w:sz w:val="28"/>
          <w:szCs w:val="28"/>
        </w:rPr>
      </w:pPr>
    </w:p>
    <w:p w:rsidR="008F715D" w:rsidRPr="00A52E27" w:rsidRDefault="008F715D" w:rsidP="008F715D">
      <w:pPr>
        <w:spacing w:after="240"/>
        <w:jc w:val="both"/>
        <w:rPr>
          <w:sz w:val="28"/>
          <w:szCs w:val="28"/>
        </w:rPr>
      </w:pPr>
      <w:r>
        <w:rPr>
          <w:noProof/>
          <w:sz w:val="28"/>
          <w:szCs w:val="28"/>
        </w:rPr>
        <w:pict>
          <v:group id="Group 17" o:spid="_x0000_s1032" style="position:absolute;left:0;text-align:left;margin-left:1.5pt;margin-top:16.2pt;width:312.1pt;height:7.15pt;rotation:180;z-index:251662336" coordorigin="6731,1331" coordsize="415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">
            <v:rect id="Rectangle 3" o:spid="_x0000_s1033" style="position:absolute;left:8205;top:1331;width:2682;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vWMAA&#10;AADbAAAADwAAAGRycy9kb3ducmV2LnhtbERPyWrDMBC9B/oPYgq9hEZOoU5wooQS0+Uax9DrYE1k&#10;U2tkLMXL31eFQm7zeOvsj5NtxUC9bxwrWK8SEMSV0w0bBeXl/XkLwgdkja1jUjCTh+PhYbHHTLuR&#10;zzQUwYgYwj5DBXUIXSalr2qy6FeuI47c1fUWQ4S9kbrHMYbbVr4kSSotNhwbauzoVFP1U9ysgja/&#10;bRMzp8PywyBuqPws8+JbqafH6W0HItAU7uJ/95eO81/h75d4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cvWMAAAADbAAAADwAAAAAAAAAAAAAAAACYAgAAZHJzL2Rvd25y&#10;ZXYueG1sUEsFBgAAAAAEAAQA9QAAAIUDAAAAAA==&#10;" fillcolor="#17365d [2415]" stroked="f"/>
            <v:rect id="Rectangle 4" o:spid="_x0000_s1034" style="position:absolute;left:7686;top:1333;width:1214;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Ewb0A&#10;AADbAAAADwAAAGRycy9kb3ducmV2LnhtbERPTYvCMBC9L/gfwgje1lSFItUooiwWb1bxPDRjW9pM&#10;SpLV+u+NsLC3ebzPWW8H04kHOd9YVjCbJiCIS6sbrhRcLz/fSxA+IGvsLJOCF3nYbkZfa8y0ffKZ&#10;HkWoRAxhn6GCOoQ+k9KXNRn0U9sTR+5uncEQoaukdviM4aaT8yRJpcGGY0ONPe1rKtvi1yhob2c6&#10;OQyL4nDMucoxSW/tVanJeNitQAQawr/4z53rOD+Fzy/xALl5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JEwb0AAADbAAAADwAAAAAAAAAAAAAAAACYAgAAZHJzL2Rvd25yZXYu&#10;eG1sUEsFBgAAAAAEAAQA9QAAAIIDAAAAAA==&#10;" fillcolor="#548dd4 [1951]" stroked="f"/>
            <v:rect id="Rectangle 5" o:spid="_x0000_s1035" style="position:absolute;left:7083;top:1333;width:1122;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YwMAA&#10;AADbAAAADwAAAGRycy9kb3ducmV2LnhtbERPS4vCMBC+C/sfwix403QVH3SNsihK8SDo7sXb0Ixt&#10;2WRSm6j13xtB8DYf33Nmi9YacaXGV44VfPUTEMS50xUXCv5+170pCB+QNRrHpOBOHhbzj84MU+1u&#10;vKfrIRQihrBPUUEZQp1K6fOSLPq+q4kjd3KNxRBhU0jd4C2GWyMHSTKWFiuODSXWtCwp/z9crILi&#10;stskq9OZw9Zwla3M8JiNWKnuZ/vzDSJQG97ilzvTcf4E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9YwMAAAADbAAAADwAAAAAAAAAAAAAAAACYAgAAZHJzL2Rvd25y&#10;ZXYueG1sUEsFBgAAAAAEAAQA9QAAAIUDAAAAAA==&#10;" fillcolor="#8db3e2 [1311]" stroked="f"/>
            <v:rect id="Rectangle 6" o:spid="_x0000_s1036" style="position:absolute;left:6731;top:1331;width:776;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9XsQA&#10;AADbAAAADwAAAGRycy9kb3ducmV2LnhtbESPQWsCMRCF7wX/Qxiht5q1h1K2RimCoIcWuor2OGym&#10;u4ubyZqkbvrvOwfB2wzvzXvfLFbZ9epKIXaeDcxnBSji2tuOGwOH/ebpFVRMyBZ7z2TgjyKslpOH&#10;BZbWj/xF1yo1SkI4lmigTWkotY51Sw7jzA/Eov344DDJGhptA44S7nr9XBQv2mHH0tDiQOuW6nP1&#10;6wyMaZ5340dz3uXTZ0XfeAz95WjM4zS/v4FKlNPdfLveWs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V7EAAAA2wAAAA8AAAAAAAAAAAAAAAAAmAIAAGRycy9k&#10;b3ducmV2LnhtbFBLBQYAAAAABAAEAPUAAACJAwAAAAA=&#10;" fillcolor="#c6d9f1 [671]" stroked="f"/>
          </v:group>
        </w:pict>
      </w:r>
    </w:p>
    <w:p w:rsidR="008F715D" w:rsidRPr="00A52E27" w:rsidRDefault="008F715D" w:rsidP="008F715D">
      <w:pPr>
        <w:spacing w:after="240"/>
        <w:jc w:val="both"/>
        <w:rPr>
          <w:sz w:val="28"/>
          <w:szCs w:val="28"/>
        </w:rPr>
      </w:pPr>
    </w:p>
    <w:p w:rsidR="008F715D" w:rsidRPr="00A52E27" w:rsidRDefault="008F715D" w:rsidP="008F715D">
      <w:pPr>
        <w:spacing w:after="240" w:line="360" w:lineRule="auto"/>
        <w:jc w:val="both"/>
        <w:rPr>
          <w:sz w:val="28"/>
          <w:szCs w:val="28"/>
        </w:rPr>
      </w:pPr>
      <w:r w:rsidRPr="00A52E27">
        <w:rPr>
          <w:sz w:val="28"/>
          <w:szCs w:val="28"/>
        </w:rPr>
        <w:t xml:space="preserve">La Direction Générale de l’Economie et de la Politique Fiscale renouvelle ses remerciements aux entreprises, aux administrations et aux opinions informées qui ont permis la réalisation de cette </w:t>
      </w:r>
      <w:r>
        <w:rPr>
          <w:sz w:val="28"/>
          <w:szCs w:val="28"/>
        </w:rPr>
        <w:t>deuxième</w:t>
      </w:r>
      <w:r w:rsidRPr="00A52E27">
        <w:rPr>
          <w:sz w:val="28"/>
          <w:szCs w:val="28"/>
        </w:rPr>
        <w:t xml:space="preserve"> note de conjoncture (NDC) économique de l’année 2016.</w:t>
      </w:r>
    </w:p>
    <w:p w:rsidR="008F715D" w:rsidRPr="00A52E27" w:rsidRDefault="008F715D" w:rsidP="008F715D">
      <w:pPr>
        <w:spacing w:after="240"/>
        <w:rPr>
          <w:sz w:val="28"/>
          <w:szCs w:val="28"/>
        </w:rPr>
      </w:pPr>
      <w:r>
        <w:rPr>
          <w:noProof/>
          <w:sz w:val="28"/>
          <w:szCs w:val="28"/>
        </w:rPr>
        <w:pict>
          <v:group id="_x0000_s1037" style="position:absolute;margin-left:127.1pt;margin-top:11.3pt;width:343pt;height:7.25pt;z-index:251663360" coordorigin="6731,1331" coordsize="415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">
            <v:rect id="Rectangle 3" o:spid="_x0000_s1038" style="position:absolute;left:8205;top:1331;width:2682;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mBsEA&#10;AADaAAAADwAAAGRycy9kb3ducmV2LnhtbESPT4vCMBTE7wt+h/AEL4umK+hKNYqs+Oe63YLXR/NM&#10;i81LaWKt394Iwh6HmfkNs9r0thYdtb5yrOBrkoAgLpyu2CjI//bjBQgfkDXWjknBgzxs1oOPFaba&#10;3fmXuiwYESHsU1RQhtCkUvqiJIt+4hri6F1cazFE2RqpW7xHuK3lNEnm0mLFcaHEhn5KKq7ZzSqo&#10;d7dFYh7z7vNgEL8pP+a77KzUaNhvlyAC9eE//G6ftIIZvK7EG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4pgbBAAAA2gAAAA8AAAAAAAAAAAAAAAAAmAIAAGRycy9kb3du&#10;cmV2LnhtbFBLBQYAAAAABAAEAPUAAACGAwAAAAA=&#10;" fillcolor="#17365d [2415]" stroked="f"/>
            <v:rect id="Rectangle 4" o:spid="_x0000_s1039" style="position:absolute;left:7686;top:1333;width:1214;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WCMEA&#10;AADbAAAADwAAAGRycy9kb3ducmV2LnhtbESPQWvCQBSE7wX/w/IEb3WjQiipq4hSGnpLGnJ+ZF+T&#10;kOzbsLtq/PduodDjMDPfMPvjbEZxI+d7ywo26wQEcWN1z62C6vvj9Q2ED8gaR8uk4EEejofFyx4z&#10;be9c0K0MrYgQ9hkq6EKYMil905FBv7YTcfR+rDMYonSt1A7vEW5GuU2SVBrsOS50ONG5o2Yor0bB&#10;UBf05TDsystnzm2OSVoPlVKr5Xx6BxFoDv/hv3auFWw38Psl/gB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3FgjBAAAA2wAAAA8AAAAAAAAAAAAAAAAAmAIAAGRycy9kb3du&#10;cmV2LnhtbFBLBQYAAAAABAAEAPUAAACGAwAAAAA=&#10;" fillcolor="#548dd4 [1951]" stroked="f"/>
            <v:rect id="Rectangle 5" o:spid="_x0000_s1040" style="position:absolute;left:7083;top:1333;width:1122;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x5cIA&#10;AADbAAAADwAAAGRycy9kb3ducmV2LnhtbESPQYvCMBSE74L/ITzBm6ZWVpZqFFGUsocFXS/eHs2z&#10;LSYvtYla/71ZWNjjMDPfMItVZ414UOtrxwom4wQEceF0zaWC089u9AnCB2SNxjEpeJGH1bLfW2Cm&#10;3ZMP9DiGUkQI+wwVVCE0mZS+qMiiH7uGOHoX11oMUbal1C0+I9wamSbJTFqsOS5U2NCmouJ6vFsF&#10;5f17n2wvNw5fhut8a6bn/IOVGg669RxEoC78h//auVaQpvD7Jf4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9DHlwgAAANsAAAAPAAAAAAAAAAAAAAAAAJgCAABkcnMvZG93&#10;bnJldi54bWxQSwUGAAAAAAQABAD1AAAAhwMAAAAA&#10;" fillcolor="#8db3e2 [1311]" stroked="f"/>
            <v:rect id="Rectangle 6" o:spid="_x0000_s1041" style="position:absolute;left:6731;top:1331;width:776;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lksMA&#10;AADbAAAADwAAAGRycy9kb3ducmV2LnhtbESPQWsCMRSE74L/ITzBm2ZVkLI1ShEEPVjottgeH5vX&#10;3cXNy5pEN/33jSB4HGbmG2a1iaYVN3K+saxgNs1AEJdWN1wp+PrcTV5A+ICssbVMCv7Iw2Y9HKww&#10;17bnD7oVoRIJwj5HBXUIXS6lL2sy6Ke2I07er3UGQ5Kuktphn+CmlfMsW0qDDaeFGjva1lSei6tR&#10;0IdZPPTH6nyI3+8F/eDJtZeTUuNRfHsFESiGZ/jR3msF8wXcv6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WlksMAAADbAAAADwAAAAAAAAAAAAAAAACYAgAAZHJzL2Rv&#10;d25yZXYueG1sUEsFBgAAAAAEAAQA9QAAAIgDAAAAAA==&#10;" fillcolor="#c6d9f1 [671]" stroked="f"/>
          </v:group>
        </w:pict>
      </w:r>
    </w:p>
    <w:p w:rsidR="008F715D" w:rsidRPr="00A52E27" w:rsidRDefault="008F715D" w:rsidP="008F715D">
      <w:pPr>
        <w:spacing w:after="200" w:line="276" w:lineRule="auto"/>
        <w:rPr>
          <w:b/>
          <w:bCs/>
          <w:sz w:val="26"/>
          <w:szCs w:val="26"/>
        </w:rPr>
      </w:pPr>
      <w:r w:rsidRPr="00A52E27">
        <w:rPr>
          <w:b/>
          <w:bCs/>
          <w:sz w:val="26"/>
          <w:szCs w:val="26"/>
        </w:rPr>
        <w:br w:type="page"/>
      </w:r>
    </w:p>
    <w:p w:rsidR="008F715D" w:rsidRPr="00A52E27" w:rsidRDefault="008F715D" w:rsidP="008F715D">
      <w:pPr>
        <w:pBdr>
          <w:top w:val="single" w:sz="18" w:space="1" w:color="00B0F0"/>
          <w:bottom w:val="thinThickThinSmallGap" w:sz="24" w:space="1" w:color="00B0F0"/>
        </w:pBdr>
        <w:shd w:val="clear" w:color="auto" w:fill="B8CCE4" w:themeFill="accent1" w:themeFillTint="66"/>
        <w:spacing w:line="276" w:lineRule="auto"/>
        <w:jc w:val="center"/>
        <w:rPr>
          <w:rFonts w:eastAsiaTheme="minorEastAsia"/>
          <w:b/>
          <w:sz w:val="40"/>
          <w:szCs w:val="40"/>
        </w:rPr>
      </w:pPr>
      <w:r w:rsidRPr="00A52E27">
        <w:rPr>
          <w:rFonts w:eastAsiaTheme="minorEastAsia"/>
          <w:b/>
          <w:sz w:val="40"/>
          <w:szCs w:val="40"/>
        </w:rPr>
        <w:lastRenderedPageBreak/>
        <w:t>SOMMAIRE</w:t>
      </w:r>
    </w:p>
    <w:p w:rsidR="008F715D" w:rsidRPr="00A52E27" w:rsidRDefault="008F715D" w:rsidP="008F715D">
      <w:pPr>
        <w:jc w:val="both"/>
      </w:pPr>
    </w:p>
    <w:sdt>
      <w:sdtPr>
        <w:rPr>
          <w:b w:val="0"/>
          <w:noProof w:val="0"/>
        </w:rPr>
        <w:id w:val="-965194632"/>
        <w:docPartObj>
          <w:docPartGallery w:val="Table of Contents"/>
          <w:docPartUnique/>
        </w:docPartObj>
      </w:sdtPr>
      <w:sdtEndPr>
        <w:rPr>
          <w:bCs/>
        </w:rPr>
      </w:sdtEndPr>
      <w:sdtContent>
        <w:bookmarkStart w:id="0" w:name="_GoBack" w:displacedByCustomXml="prev"/>
        <w:bookmarkEnd w:id="0" w:displacedByCustomXml="prev"/>
        <w:p w:rsidR="008F715D" w:rsidRDefault="008F715D" w:rsidP="008F715D">
          <w:pPr>
            <w:pStyle w:val="TM1"/>
            <w:rPr>
              <w:rFonts w:asciiTheme="minorHAnsi" w:eastAsiaTheme="minorEastAsia" w:hAnsiTheme="minorHAnsi" w:cstheme="minorBidi"/>
              <w:b w:val="0"/>
              <w:sz w:val="22"/>
              <w:szCs w:val="22"/>
            </w:rPr>
          </w:pPr>
          <w:r w:rsidRPr="001925BD">
            <w:fldChar w:fldCharType="begin"/>
          </w:r>
          <w:r w:rsidRPr="00A52E27">
            <w:instrText xml:space="preserve"> TOC \o "1-3" \h \z \u </w:instrText>
          </w:r>
          <w:r w:rsidRPr="001925BD">
            <w:fldChar w:fldCharType="separate"/>
          </w:r>
          <w:hyperlink w:anchor="_Toc462990798" w:history="1">
            <w:r w:rsidRPr="00CD41D4">
              <w:rPr>
                <w:rStyle w:val="Lienhypertexte"/>
              </w:rPr>
              <w:t>RESUME EXECUTIF</w:t>
            </w:r>
            <w:r>
              <w:rPr>
                <w:webHidden/>
              </w:rPr>
              <w:tab/>
            </w:r>
            <w:r>
              <w:rPr>
                <w:webHidden/>
              </w:rPr>
              <w:fldChar w:fldCharType="begin"/>
            </w:r>
            <w:r>
              <w:rPr>
                <w:webHidden/>
              </w:rPr>
              <w:instrText xml:space="preserve"> PAGEREF _Toc462990798 \h </w:instrText>
            </w:r>
            <w:r>
              <w:rPr>
                <w:webHidden/>
              </w:rPr>
            </w:r>
            <w:r>
              <w:rPr>
                <w:webHidden/>
              </w:rPr>
              <w:fldChar w:fldCharType="separate"/>
            </w:r>
            <w:r>
              <w:rPr>
                <w:webHidden/>
              </w:rPr>
              <w:t>7</w:t>
            </w:r>
            <w:r>
              <w:rPr>
                <w:webHidden/>
              </w:rPr>
              <w:fldChar w:fldCharType="end"/>
            </w:r>
          </w:hyperlink>
        </w:p>
        <w:p w:rsidR="008F715D" w:rsidRDefault="008F715D" w:rsidP="008F715D">
          <w:pPr>
            <w:pStyle w:val="TM1"/>
            <w:rPr>
              <w:rFonts w:asciiTheme="minorHAnsi" w:eastAsiaTheme="minorEastAsia" w:hAnsiTheme="minorHAnsi" w:cstheme="minorBidi"/>
              <w:b w:val="0"/>
              <w:sz w:val="22"/>
              <w:szCs w:val="22"/>
            </w:rPr>
          </w:pPr>
          <w:hyperlink w:anchor="_Toc462990799" w:history="1">
            <w:r w:rsidRPr="00CD41D4">
              <w:rPr>
                <w:rStyle w:val="Lienhypertexte"/>
              </w:rPr>
              <w:t>PREMIERE PARTIE: L’ECONOMIE MONDIALE A FIN JUIN 2016</w:t>
            </w:r>
            <w:r>
              <w:rPr>
                <w:webHidden/>
              </w:rPr>
              <w:tab/>
            </w:r>
            <w:r>
              <w:rPr>
                <w:webHidden/>
              </w:rPr>
              <w:fldChar w:fldCharType="begin"/>
            </w:r>
            <w:r>
              <w:rPr>
                <w:webHidden/>
              </w:rPr>
              <w:instrText xml:space="preserve"> PAGEREF _Toc462990799 \h </w:instrText>
            </w:r>
            <w:r>
              <w:rPr>
                <w:webHidden/>
              </w:rPr>
            </w:r>
            <w:r>
              <w:rPr>
                <w:webHidden/>
              </w:rPr>
              <w:fldChar w:fldCharType="separate"/>
            </w:r>
            <w:r>
              <w:rPr>
                <w:webHidden/>
              </w:rPr>
              <w:t>10</w:t>
            </w:r>
            <w:r>
              <w:rPr>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00" w:history="1">
            <w:r w:rsidRPr="00CD41D4">
              <w:rPr>
                <w:rStyle w:val="Lienhypertexte"/>
                <w:b/>
                <w:bCs/>
                <w:noProof/>
              </w:rPr>
              <w:t>I.1 LA CONJONCTURE DANS LES PRINCIPAUX PAYS AVANCES</w:t>
            </w:r>
            <w:r>
              <w:rPr>
                <w:noProof/>
                <w:webHidden/>
              </w:rPr>
              <w:tab/>
            </w:r>
            <w:r>
              <w:rPr>
                <w:noProof/>
                <w:webHidden/>
              </w:rPr>
              <w:fldChar w:fldCharType="begin"/>
            </w:r>
            <w:r>
              <w:rPr>
                <w:noProof/>
                <w:webHidden/>
              </w:rPr>
              <w:instrText xml:space="preserve"> PAGEREF _Toc462990800 \h </w:instrText>
            </w:r>
            <w:r>
              <w:rPr>
                <w:noProof/>
                <w:webHidden/>
              </w:rPr>
            </w:r>
            <w:r>
              <w:rPr>
                <w:noProof/>
                <w:webHidden/>
              </w:rPr>
              <w:fldChar w:fldCharType="separate"/>
            </w:r>
            <w:r>
              <w:rPr>
                <w:noProof/>
                <w:webHidden/>
              </w:rPr>
              <w:t>10</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01" w:history="1">
            <w:r w:rsidRPr="00CD41D4">
              <w:rPr>
                <w:rStyle w:val="Lienhypertexte"/>
                <w:b/>
                <w:bCs/>
                <w:noProof/>
              </w:rPr>
              <w:t>I.2 LA CONJONCTURE DANS LES PAYS EMERGENTS ET EN DEVELOPPEMENT</w:t>
            </w:r>
            <w:r>
              <w:rPr>
                <w:noProof/>
                <w:webHidden/>
              </w:rPr>
              <w:tab/>
            </w:r>
            <w:r>
              <w:rPr>
                <w:noProof/>
                <w:webHidden/>
              </w:rPr>
              <w:fldChar w:fldCharType="begin"/>
            </w:r>
            <w:r>
              <w:rPr>
                <w:noProof/>
                <w:webHidden/>
              </w:rPr>
              <w:instrText xml:space="preserve"> PAGEREF _Toc462990801 \h </w:instrText>
            </w:r>
            <w:r>
              <w:rPr>
                <w:noProof/>
                <w:webHidden/>
              </w:rPr>
            </w:r>
            <w:r>
              <w:rPr>
                <w:noProof/>
                <w:webHidden/>
              </w:rPr>
              <w:fldChar w:fldCharType="separate"/>
            </w:r>
            <w:r>
              <w:rPr>
                <w:noProof/>
                <w:webHidden/>
              </w:rPr>
              <w:t>11</w:t>
            </w:r>
            <w:r>
              <w:rPr>
                <w:noProof/>
                <w:webHidden/>
              </w:rPr>
              <w:fldChar w:fldCharType="end"/>
            </w:r>
          </w:hyperlink>
        </w:p>
        <w:p w:rsidR="008F715D" w:rsidRDefault="008F715D" w:rsidP="008F715D">
          <w:pPr>
            <w:pStyle w:val="TM1"/>
            <w:rPr>
              <w:rFonts w:asciiTheme="minorHAnsi" w:eastAsiaTheme="minorEastAsia" w:hAnsiTheme="minorHAnsi" w:cstheme="minorBidi"/>
              <w:b w:val="0"/>
              <w:sz w:val="22"/>
              <w:szCs w:val="22"/>
            </w:rPr>
          </w:pPr>
          <w:hyperlink w:anchor="_Toc462990802" w:history="1">
            <w:r w:rsidRPr="00CD41D4">
              <w:rPr>
                <w:rStyle w:val="Lienhypertexte"/>
              </w:rPr>
              <w:t>DEUXIEME PARTIE : L’ACTIVITE NATIONALE A FIN JUIN 2016</w:t>
            </w:r>
            <w:r>
              <w:rPr>
                <w:webHidden/>
              </w:rPr>
              <w:tab/>
            </w:r>
            <w:r>
              <w:rPr>
                <w:webHidden/>
              </w:rPr>
              <w:fldChar w:fldCharType="begin"/>
            </w:r>
            <w:r>
              <w:rPr>
                <w:webHidden/>
              </w:rPr>
              <w:instrText xml:space="preserve"> PAGEREF _Toc462990802 \h </w:instrText>
            </w:r>
            <w:r>
              <w:rPr>
                <w:webHidden/>
              </w:rPr>
            </w:r>
            <w:r>
              <w:rPr>
                <w:webHidden/>
              </w:rPr>
              <w:fldChar w:fldCharType="separate"/>
            </w:r>
            <w:r>
              <w:rPr>
                <w:webHidden/>
              </w:rPr>
              <w:t>12</w:t>
            </w:r>
            <w:r>
              <w:rPr>
                <w:webHidden/>
              </w:rPr>
              <w:fldChar w:fldCharType="end"/>
            </w:r>
          </w:hyperlink>
        </w:p>
        <w:p w:rsidR="008F715D" w:rsidRDefault="008F715D" w:rsidP="008F715D">
          <w:pPr>
            <w:pStyle w:val="TM1"/>
            <w:rPr>
              <w:rFonts w:asciiTheme="minorHAnsi" w:eastAsiaTheme="minorEastAsia" w:hAnsiTheme="minorHAnsi" w:cstheme="minorBidi"/>
              <w:b w:val="0"/>
              <w:sz w:val="22"/>
              <w:szCs w:val="22"/>
            </w:rPr>
          </w:pPr>
          <w:hyperlink w:anchor="_Toc462990803" w:history="1">
            <w:r w:rsidRPr="00CD41D4">
              <w:rPr>
                <w:rStyle w:val="Lienhypertexte"/>
              </w:rPr>
              <w:t>II. LES EVOLUTIONS SECTORIELLES A FIN JUIN 2016</w:t>
            </w:r>
            <w:r>
              <w:rPr>
                <w:webHidden/>
              </w:rPr>
              <w:tab/>
            </w:r>
            <w:r>
              <w:rPr>
                <w:webHidden/>
              </w:rPr>
              <w:fldChar w:fldCharType="begin"/>
            </w:r>
            <w:r>
              <w:rPr>
                <w:webHidden/>
              </w:rPr>
              <w:instrText xml:space="preserve"> PAGEREF _Toc462990803 \h </w:instrText>
            </w:r>
            <w:r>
              <w:rPr>
                <w:webHidden/>
              </w:rPr>
            </w:r>
            <w:r>
              <w:rPr>
                <w:webHidden/>
              </w:rPr>
              <w:fldChar w:fldCharType="separate"/>
            </w:r>
            <w:r>
              <w:rPr>
                <w:webHidden/>
              </w:rPr>
              <w:t>12</w:t>
            </w:r>
            <w:r>
              <w:rPr>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04" w:history="1">
            <w:r w:rsidRPr="00CD41D4">
              <w:rPr>
                <w:rStyle w:val="Lienhypertexte"/>
                <w:rFonts w:eastAsiaTheme="majorEastAsia"/>
                <w:b/>
                <w:bCs/>
                <w:noProof/>
              </w:rPr>
              <w:t>II.1 Tableau synoptique de l’évolution sectorielle à fin juin 2016</w:t>
            </w:r>
            <w:r>
              <w:rPr>
                <w:noProof/>
                <w:webHidden/>
              </w:rPr>
              <w:tab/>
            </w:r>
            <w:r>
              <w:rPr>
                <w:noProof/>
                <w:webHidden/>
              </w:rPr>
              <w:fldChar w:fldCharType="begin"/>
            </w:r>
            <w:r>
              <w:rPr>
                <w:noProof/>
                <w:webHidden/>
              </w:rPr>
              <w:instrText xml:space="preserve"> PAGEREF _Toc462990804 \h </w:instrText>
            </w:r>
            <w:r>
              <w:rPr>
                <w:noProof/>
                <w:webHidden/>
              </w:rPr>
            </w:r>
            <w:r>
              <w:rPr>
                <w:noProof/>
                <w:webHidden/>
              </w:rPr>
              <w:fldChar w:fldCharType="separate"/>
            </w:r>
            <w:r>
              <w:rPr>
                <w:noProof/>
                <w:webHidden/>
              </w:rPr>
              <w:t>12</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05" w:history="1">
            <w:r w:rsidRPr="00CD41D4">
              <w:rPr>
                <w:rStyle w:val="Lienhypertexte"/>
                <w:rFonts w:asciiTheme="majorBidi" w:hAnsiTheme="majorBidi" w:cstheme="majorBidi"/>
                <w:b/>
                <w:bCs/>
                <w:noProof/>
              </w:rPr>
              <w:t>II.2. LE PETROLE</w:t>
            </w:r>
            <w:r>
              <w:rPr>
                <w:noProof/>
                <w:webHidden/>
              </w:rPr>
              <w:tab/>
            </w:r>
            <w:r>
              <w:rPr>
                <w:noProof/>
                <w:webHidden/>
              </w:rPr>
              <w:fldChar w:fldCharType="begin"/>
            </w:r>
            <w:r>
              <w:rPr>
                <w:noProof/>
                <w:webHidden/>
              </w:rPr>
              <w:instrText xml:space="preserve"> PAGEREF _Toc462990805 \h </w:instrText>
            </w:r>
            <w:r>
              <w:rPr>
                <w:noProof/>
                <w:webHidden/>
              </w:rPr>
            </w:r>
            <w:r>
              <w:rPr>
                <w:noProof/>
                <w:webHidden/>
              </w:rPr>
              <w:fldChar w:fldCharType="separate"/>
            </w:r>
            <w:r>
              <w:rPr>
                <w:noProof/>
                <w:webHidden/>
              </w:rPr>
              <w:t>14</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06" w:history="1">
            <w:r w:rsidRPr="00CD41D4">
              <w:rPr>
                <w:rStyle w:val="Lienhypertexte"/>
                <w:rFonts w:asciiTheme="majorBidi" w:hAnsiTheme="majorBidi" w:cstheme="majorBidi"/>
                <w:b/>
                <w:bCs/>
                <w:noProof/>
              </w:rPr>
              <w:t>II.3. LE GAZ NATUREL COMMERCIALISE</w:t>
            </w:r>
            <w:r>
              <w:rPr>
                <w:noProof/>
                <w:webHidden/>
              </w:rPr>
              <w:tab/>
            </w:r>
            <w:r>
              <w:rPr>
                <w:noProof/>
                <w:webHidden/>
              </w:rPr>
              <w:fldChar w:fldCharType="begin"/>
            </w:r>
            <w:r>
              <w:rPr>
                <w:noProof/>
                <w:webHidden/>
              </w:rPr>
              <w:instrText xml:space="preserve"> PAGEREF _Toc462990806 \h </w:instrText>
            </w:r>
            <w:r>
              <w:rPr>
                <w:noProof/>
                <w:webHidden/>
              </w:rPr>
            </w:r>
            <w:r>
              <w:rPr>
                <w:noProof/>
                <w:webHidden/>
              </w:rPr>
              <w:fldChar w:fldCharType="separate"/>
            </w:r>
            <w:r>
              <w:rPr>
                <w:noProof/>
                <w:webHidden/>
              </w:rPr>
              <w:t>14</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07" w:history="1">
            <w:r w:rsidRPr="00CD41D4">
              <w:rPr>
                <w:rStyle w:val="Lienhypertexte"/>
                <w:rFonts w:asciiTheme="majorBidi" w:hAnsiTheme="majorBidi" w:cstheme="majorBidi"/>
                <w:b/>
                <w:bCs/>
                <w:noProof/>
              </w:rPr>
              <w:t>II.4. LES MINES</w:t>
            </w:r>
            <w:r>
              <w:rPr>
                <w:noProof/>
                <w:webHidden/>
              </w:rPr>
              <w:tab/>
            </w:r>
            <w:r>
              <w:rPr>
                <w:noProof/>
                <w:webHidden/>
              </w:rPr>
              <w:fldChar w:fldCharType="begin"/>
            </w:r>
            <w:r>
              <w:rPr>
                <w:noProof/>
                <w:webHidden/>
              </w:rPr>
              <w:instrText xml:space="preserve"> PAGEREF _Toc462990807 \h </w:instrText>
            </w:r>
            <w:r>
              <w:rPr>
                <w:noProof/>
                <w:webHidden/>
              </w:rPr>
            </w:r>
            <w:r>
              <w:rPr>
                <w:noProof/>
                <w:webHidden/>
              </w:rPr>
              <w:fldChar w:fldCharType="separate"/>
            </w:r>
            <w:r>
              <w:rPr>
                <w:noProof/>
                <w:webHidden/>
              </w:rPr>
              <w:t>15</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08" w:history="1">
            <w:r w:rsidRPr="00CD41D4">
              <w:rPr>
                <w:rStyle w:val="Lienhypertexte"/>
                <w:rFonts w:asciiTheme="majorBidi" w:hAnsiTheme="majorBidi" w:cstheme="majorBidi"/>
                <w:b/>
                <w:bCs/>
                <w:i/>
                <w:iCs/>
                <w:noProof/>
              </w:rPr>
              <w:t>II.4.1. Le manganèse</w:t>
            </w:r>
            <w:r>
              <w:rPr>
                <w:noProof/>
                <w:webHidden/>
              </w:rPr>
              <w:tab/>
            </w:r>
            <w:r>
              <w:rPr>
                <w:noProof/>
                <w:webHidden/>
              </w:rPr>
              <w:fldChar w:fldCharType="begin"/>
            </w:r>
            <w:r>
              <w:rPr>
                <w:noProof/>
                <w:webHidden/>
              </w:rPr>
              <w:instrText xml:space="preserve"> PAGEREF _Toc462990808 \h </w:instrText>
            </w:r>
            <w:r>
              <w:rPr>
                <w:noProof/>
                <w:webHidden/>
              </w:rPr>
            </w:r>
            <w:r>
              <w:rPr>
                <w:noProof/>
                <w:webHidden/>
              </w:rPr>
              <w:fldChar w:fldCharType="separate"/>
            </w:r>
            <w:r>
              <w:rPr>
                <w:noProof/>
                <w:webHidden/>
              </w:rPr>
              <w:t>15</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09" w:history="1">
            <w:r w:rsidRPr="00CD41D4">
              <w:rPr>
                <w:rStyle w:val="Lienhypertexte"/>
                <w:rFonts w:asciiTheme="majorBidi" w:hAnsiTheme="majorBidi" w:cstheme="majorBidi"/>
                <w:b/>
                <w:bCs/>
                <w:i/>
                <w:iCs/>
                <w:noProof/>
              </w:rPr>
              <w:t>II.4.2. L’or</w:t>
            </w:r>
            <w:r>
              <w:rPr>
                <w:noProof/>
                <w:webHidden/>
              </w:rPr>
              <w:tab/>
            </w:r>
            <w:r>
              <w:rPr>
                <w:noProof/>
                <w:webHidden/>
              </w:rPr>
              <w:fldChar w:fldCharType="begin"/>
            </w:r>
            <w:r>
              <w:rPr>
                <w:noProof/>
                <w:webHidden/>
              </w:rPr>
              <w:instrText xml:space="preserve"> PAGEREF _Toc462990809 \h </w:instrText>
            </w:r>
            <w:r>
              <w:rPr>
                <w:noProof/>
                <w:webHidden/>
              </w:rPr>
            </w:r>
            <w:r>
              <w:rPr>
                <w:noProof/>
                <w:webHidden/>
              </w:rPr>
              <w:fldChar w:fldCharType="separate"/>
            </w:r>
            <w:r>
              <w:rPr>
                <w:noProof/>
                <w:webHidden/>
              </w:rPr>
              <w:t>15</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10" w:history="1">
            <w:r w:rsidRPr="00CD41D4">
              <w:rPr>
                <w:rStyle w:val="Lienhypertexte"/>
                <w:b/>
                <w:bCs/>
                <w:noProof/>
              </w:rPr>
              <w:t>II.5. L’EXPLOITATION FORESTIERE</w:t>
            </w:r>
            <w:r>
              <w:rPr>
                <w:noProof/>
                <w:webHidden/>
              </w:rPr>
              <w:tab/>
            </w:r>
            <w:r>
              <w:rPr>
                <w:noProof/>
                <w:webHidden/>
              </w:rPr>
              <w:fldChar w:fldCharType="begin"/>
            </w:r>
            <w:r>
              <w:rPr>
                <w:noProof/>
                <w:webHidden/>
              </w:rPr>
              <w:instrText xml:space="preserve"> PAGEREF _Toc462990810 \h </w:instrText>
            </w:r>
            <w:r>
              <w:rPr>
                <w:noProof/>
                <w:webHidden/>
              </w:rPr>
            </w:r>
            <w:r>
              <w:rPr>
                <w:noProof/>
                <w:webHidden/>
              </w:rPr>
              <w:fldChar w:fldCharType="separate"/>
            </w:r>
            <w:r>
              <w:rPr>
                <w:noProof/>
                <w:webHidden/>
              </w:rPr>
              <w:t>16</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11" w:history="1">
            <w:r w:rsidRPr="00CD41D4">
              <w:rPr>
                <w:rStyle w:val="Lienhypertexte"/>
                <w:rFonts w:asciiTheme="majorBidi" w:hAnsiTheme="majorBidi" w:cstheme="majorBidi"/>
                <w:b/>
                <w:bCs/>
                <w:noProof/>
              </w:rPr>
              <w:t>II.6. L’AGRICULTURE ET ELEVAGE</w:t>
            </w:r>
            <w:r>
              <w:rPr>
                <w:noProof/>
                <w:webHidden/>
              </w:rPr>
              <w:tab/>
            </w:r>
            <w:r>
              <w:rPr>
                <w:noProof/>
                <w:webHidden/>
              </w:rPr>
              <w:fldChar w:fldCharType="begin"/>
            </w:r>
            <w:r>
              <w:rPr>
                <w:noProof/>
                <w:webHidden/>
              </w:rPr>
              <w:instrText xml:space="preserve"> PAGEREF _Toc462990811 \h </w:instrText>
            </w:r>
            <w:r>
              <w:rPr>
                <w:noProof/>
                <w:webHidden/>
              </w:rPr>
            </w:r>
            <w:r>
              <w:rPr>
                <w:noProof/>
                <w:webHidden/>
              </w:rPr>
              <w:fldChar w:fldCharType="separate"/>
            </w:r>
            <w:r>
              <w:rPr>
                <w:noProof/>
                <w:webHidden/>
              </w:rPr>
              <w:t>16</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12" w:history="1">
            <w:r w:rsidRPr="00CD41D4">
              <w:rPr>
                <w:rStyle w:val="Lienhypertexte"/>
                <w:rFonts w:asciiTheme="majorBidi" w:hAnsiTheme="majorBidi" w:cstheme="majorBidi"/>
                <w:b/>
                <w:bCs/>
                <w:i/>
                <w:iCs/>
                <w:noProof/>
              </w:rPr>
              <w:t>II.6.1. Le caoutchouc naturel</w:t>
            </w:r>
            <w:r>
              <w:rPr>
                <w:noProof/>
                <w:webHidden/>
              </w:rPr>
              <w:tab/>
            </w:r>
            <w:r>
              <w:rPr>
                <w:noProof/>
                <w:webHidden/>
              </w:rPr>
              <w:fldChar w:fldCharType="begin"/>
            </w:r>
            <w:r>
              <w:rPr>
                <w:noProof/>
                <w:webHidden/>
              </w:rPr>
              <w:instrText xml:space="preserve"> PAGEREF _Toc462990812 \h </w:instrText>
            </w:r>
            <w:r>
              <w:rPr>
                <w:noProof/>
                <w:webHidden/>
              </w:rPr>
            </w:r>
            <w:r>
              <w:rPr>
                <w:noProof/>
                <w:webHidden/>
              </w:rPr>
              <w:fldChar w:fldCharType="separate"/>
            </w:r>
            <w:r>
              <w:rPr>
                <w:noProof/>
                <w:webHidden/>
              </w:rPr>
              <w:t>16</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13" w:history="1">
            <w:r w:rsidRPr="00CD41D4">
              <w:rPr>
                <w:rStyle w:val="Lienhypertexte"/>
                <w:rFonts w:asciiTheme="majorBidi" w:hAnsiTheme="majorBidi" w:cstheme="majorBidi"/>
                <w:b/>
                <w:bCs/>
                <w:i/>
                <w:iCs/>
                <w:noProof/>
              </w:rPr>
              <w:t>II.6.2. L’élevage</w:t>
            </w:r>
            <w:r>
              <w:rPr>
                <w:noProof/>
                <w:webHidden/>
              </w:rPr>
              <w:tab/>
            </w:r>
            <w:r>
              <w:rPr>
                <w:noProof/>
                <w:webHidden/>
              </w:rPr>
              <w:fldChar w:fldCharType="begin"/>
            </w:r>
            <w:r>
              <w:rPr>
                <w:noProof/>
                <w:webHidden/>
              </w:rPr>
              <w:instrText xml:space="preserve"> PAGEREF _Toc462990813 \h </w:instrText>
            </w:r>
            <w:r>
              <w:rPr>
                <w:noProof/>
                <w:webHidden/>
              </w:rPr>
            </w:r>
            <w:r>
              <w:rPr>
                <w:noProof/>
                <w:webHidden/>
              </w:rPr>
              <w:fldChar w:fldCharType="separate"/>
            </w:r>
            <w:r>
              <w:rPr>
                <w:noProof/>
                <w:webHidden/>
              </w:rPr>
              <w:t>17</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14" w:history="1">
            <w:r w:rsidRPr="00CD41D4">
              <w:rPr>
                <w:rStyle w:val="Lienhypertexte"/>
                <w:rFonts w:asciiTheme="majorBidi" w:hAnsiTheme="majorBidi" w:cstheme="majorBidi"/>
                <w:b/>
                <w:bCs/>
                <w:i/>
                <w:iCs/>
                <w:noProof/>
              </w:rPr>
              <w:t>II.6.2.1. L’élevage bovin</w:t>
            </w:r>
            <w:r>
              <w:rPr>
                <w:noProof/>
                <w:webHidden/>
              </w:rPr>
              <w:tab/>
            </w:r>
            <w:r>
              <w:rPr>
                <w:noProof/>
                <w:webHidden/>
              </w:rPr>
              <w:fldChar w:fldCharType="begin"/>
            </w:r>
            <w:r>
              <w:rPr>
                <w:noProof/>
                <w:webHidden/>
              </w:rPr>
              <w:instrText xml:space="preserve"> PAGEREF _Toc462990814 \h </w:instrText>
            </w:r>
            <w:r>
              <w:rPr>
                <w:noProof/>
                <w:webHidden/>
              </w:rPr>
            </w:r>
            <w:r>
              <w:rPr>
                <w:noProof/>
                <w:webHidden/>
              </w:rPr>
              <w:fldChar w:fldCharType="separate"/>
            </w:r>
            <w:r>
              <w:rPr>
                <w:noProof/>
                <w:webHidden/>
              </w:rPr>
              <w:t>17</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15" w:history="1">
            <w:r w:rsidRPr="00CD41D4">
              <w:rPr>
                <w:rStyle w:val="Lienhypertexte"/>
                <w:rFonts w:asciiTheme="majorBidi" w:hAnsiTheme="majorBidi" w:cstheme="majorBidi"/>
                <w:b/>
                <w:bCs/>
                <w:noProof/>
              </w:rPr>
              <w:t>II.7. LES AGRO-INDUSTRIES</w:t>
            </w:r>
            <w:r>
              <w:rPr>
                <w:noProof/>
                <w:webHidden/>
              </w:rPr>
              <w:tab/>
            </w:r>
            <w:r>
              <w:rPr>
                <w:noProof/>
                <w:webHidden/>
              </w:rPr>
              <w:fldChar w:fldCharType="begin"/>
            </w:r>
            <w:r>
              <w:rPr>
                <w:noProof/>
                <w:webHidden/>
              </w:rPr>
              <w:instrText xml:space="preserve"> PAGEREF _Toc462990815 \h </w:instrText>
            </w:r>
            <w:r>
              <w:rPr>
                <w:noProof/>
                <w:webHidden/>
              </w:rPr>
            </w:r>
            <w:r>
              <w:rPr>
                <w:noProof/>
                <w:webHidden/>
              </w:rPr>
              <w:fldChar w:fldCharType="separate"/>
            </w:r>
            <w:r>
              <w:rPr>
                <w:noProof/>
                <w:webHidden/>
              </w:rPr>
              <w:t>17</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16" w:history="1">
            <w:r w:rsidRPr="00CD41D4">
              <w:rPr>
                <w:rStyle w:val="Lienhypertexte"/>
                <w:rFonts w:asciiTheme="majorBidi" w:hAnsiTheme="majorBidi" w:cstheme="majorBidi"/>
                <w:b/>
                <w:bCs/>
                <w:i/>
                <w:iCs/>
                <w:noProof/>
              </w:rPr>
              <w:t>II.7.1. La minoterie et l’aviculture</w:t>
            </w:r>
            <w:r>
              <w:rPr>
                <w:noProof/>
                <w:webHidden/>
              </w:rPr>
              <w:tab/>
            </w:r>
            <w:r>
              <w:rPr>
                <w:noProof/>
                <w:webHidden/>
              </w:rPr>
              <w:fldChar w:fldCharType="begin"/>
            </w:r>
            <w:r>
              <w:rPr>
                <w:noProof/>
                <w:webHidden/>
              </w:rPr>
              <w:instrText xml:space="preserve"> PAGEREF _Toc462990816 \h </w:instrText>
            </w:r>
            <w:r>
              <w:rPr>
                <w:noProof/>
                <w:webHidden/>
              </w:rPr>
            </w:r>
            <w:r>
              <w:rPr>
                <w:noProof/>
                <w:webHidden/>
              </w:rPr>
              <w:fldChar w:fldCharType="separate"/>
            </w:r>
            <w:r>
              <w:rPr>
                <w:noProof/>
                <w:webHidden/>
              </w:rPr>
              <w:t>17</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17" w:history="1">
            <w:r w:rsidRPr="00CD41D4">
              <w:rPr>
                <w:rStyle w:val="Lienhypertexte"/>
                <w:rFonts w:asciiTheme="majorBidi" w:hAnsiTheme="majorBidi" w:cstheme="majorBidi"/>
                <w:b/>
                <w:bCs/>
                <w:i/>
                <w:iCs/>
                <w:noProof/>
              </w:rPr>
              <w:t>II.7.2. Les huiles et corps gras</w:t>
            </w:r>
            <w:r>
              <w:rPr>
                <w:noProof/>
                <w:webHidden/>
              </w:rPr>
              <w:tab/>
            </w:r>
            <w:r>
              <w:rPr>
                <w:noProof/>
                <w:webHidden/>
              </w:rPr>
              <w:fldChar w:fldCharType="begin"/>
            </w:r>
            <w:r>
              <w:rPr>
                <w:noProof/>
                <w:webHidden/>
              </w:rPr>
              <w:instrText xml:space="preserve"> PAGEREF _Toc462990817 \h </w:instrText>
            </w:r>
            <w:r>
              <w:rPr>
                <w:noProof/>
                <w:webHidden/>
              </w:rPr>
            </w:r>
            <w:r>
              <w:rPr>
                <w:noProof/>
                <w:webHidden/>
              </w:rPr>
              <w:fldChar w:fldCharType="separate"/>
            </w:r>
            <w:r>
              <w:rPr>
                <w:noProof/>
                <w:webHidden/>
              </w:rPr>
              <w:t>18</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18" w:history="1">
            <w:r w:rsidRPr="00CD41D4">
              <w:rPr>
                <w:rStyle w:val="Lienhypertexte"/>
                <w:rFonts w:asciiTheme="majorBidi" w:hAnsiTheme="majorBidi" w:cstheme="majorBidi"/>
                <w:b/>
                <w:bCs/>
                <w:i/>
                <w:iCs/>
                <w:noProof/>
              </w:rPr>
              <w:t>II.7.3. Le sucre</w:t>
            </w:r>
            <w:r>
              <w:rPr>
                <w:noProof/>
                <w:webHidden/>
              </w:rPr>
              <w:tab/>
            </w:r>
            <w:r>
              <w:rPr>
                <w:noProof/>
                <w:webHidden/>
              </w:rPr>
              <w:fldChar w:fldCharType="begin"/>
            </w:r>
            <w:r>
              <w:rPr>
                <w:noProof/>
                <w:webHidden/>
              </w:rPr>
              <w:instrText xml:space="preserve"> PAGEREF _Toc462990818 \h </w:instrText>
            </w:r>
            <w:r>
              <w:rPr>
                <w:noProof/>
                <w:webHidden/>
              </w:rPr>
            </w:r>
            <w:r>
              <w:rPr>
                <w:noProof/>
                <w:webHidden/>
              </w:rPr>
              <w:fldChar w:fldCharType="separate"/>
            </w:r>
            <w:r>
              <w:rPr>
                <w:noProof/>
                <w:webHidden/>
              </w:rPr>
              <w:t>19</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19" w:history="1">
            <w:r w:rsidRPr="00CD41D4">
              <w:rPr>
                <w:rStyle w:val="Lienhypertexte"/>
                <w:rFonts w:asciiTheme="majorBidi" w:hAnsiTheme="majorBidi" w:cstheme="majorBidi"/>
                <w:b/>
                <w:bCs/>
                <w:i/>
                <w:iCs/>
                <w:noProof/>
              </w:rPr>
              <w:t>II.7.4. Les boissons gazeuses et alcoolisées</w:t>
            </w:r>
            <w:r>
              <w:rPr>
                <w:noProof/>
                <w:webHidden/>
              </w:rPr>
              <w:tab/>
            </w:r>
            <w:r>
              <w:rPr>
                <w:noProof/>
                <w:webHidden/>
              </w:rPr>
              <w:fldChar w:fldCharType="begin"/>
            </w:r>
            <w:r>
              <w:rPr>
                <w:noProof/>
                <w:webHidden/>
              </w:rPr>
              <w:instrText xml:space="preserve"> PAGEREF _Toc462990819 \h </w:instrText>
            </w:r>
            <w:r>
              <w:rPr>
                <w:noProof/>
                <w:webHidden/>
              </w:rPr>
            </w:r>
            <w:r>
              <w:rPr>
                <w:noProof/>
                <w:webHidden/>
              </w:rPr>
              <w:fldChar w:fldCharType="separate"/>
            </w:r>
            <w:r>
              <w:rPr>
                <w:noProof/>
                <w:webHidden/>
              </w:rPr>
              <w:t>19</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20" w:history="1">
            <w:r w:rsidRPr="00CD41D4">
              <w:rPr>
                <w:rStyle w:val="Lienhypertexte"/>
                <w:rFonts w:asciiTheme="majorBidi" w:hAnsiTheme="majorBidi" w:cstheme="majorBidi"/>
                <w:b/>
                <w:bCs/>
                <w:i/>
                <w:iCs/>
                <w:noProof/>
              </w:rPr>
              <w:t>II.7.5. L’eau minérale</w:t>
            </w:r>
            <w:r>
              <w:rPr>
                <w:noProof/>
                <w:webHidden/>
              </w:rPr>
              <w:tab/>
            </w:r>
            <w:r>
              <w:rPr>
                <w:noProof/>
                <w:webHidden/>
              </w:rPr>
              <w:fldChar w:fldCharType="begin"/>
            </w:r>
            <w:r>
              <w:rPr>
                <w:noProof/>
                <w:webHidden/>
              </w:rPr>
              <w:instrText xml:space="preserve"> PAGEREF _Toc462990820 \h </w:instrText>
            </w:r>
            <w:r>
              <w:rPr>
                <w:noProof/>
                <w:webHidden/>
              </w:rPr>
            </w:r>
            <w:r>
              <w:rPr>
                <w:noProof/>
                <w:webHidden/>
              </w:rPr>
              <w:fldChar w:fldCharType="separate"/>
            </w:r>
            <w:r>
              <w:rPr>
                <w:noProof/>
                <w:webHidden/>
              </w:rPr>
              <w:t>20</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21" w:history="1">
            <w:r w:rsidRPr="00CD41D4">
              <w:rPr>
                <w:rStyle w:val="Lienhypertexte"/>
                <w:b/>
                <w:bCs/>
                <w:noProof/>
              </w:rPr>
              <w:t>II.8. LES INDUSTRIES DU BOIS</w:t>
            </w:r>
            <w:r>
              <w:rPr>
                <w:noProof/>
                <w:webHidden/>
              </w:rPr>
              <w:tab/>
            </w:r>
            <w:r>
              <w:rPr>
                <w:noProof/>
                <w:webHidden/>
              </w:rPr>
              <w:fldChar w:fldCharType="begin"/>
            </w:r>
            <w:r>
              <w:rPr>
                <w:noProof/>
                <w:webHidden/>
              </w:rPr>
              <w:instrText xml:space="preserve"> PAGEREF _Toc462990821 \h </w:instrText>
            </w:r>
            <w:r>
              <w:rPr>
                <w:noProof/>
                <w:webHidden/>
              </w:rPr>
            </w:r>
            <w:r>
              <w:rPr>
                <w:noProof/>
                <w:webHidden/>
              </w:rPr>
              <w:fldChar w:fldCharType="separate"/>
            </w:r>
            <w:r>
              <w:rPr>
                <w:noProof/>
                <w:webHidden/>
              </w:rPr>
              <w:t>20</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22" w:history="1">
            <w:r w:rsidRPr="00CD41D4">
              <w:rPr>
                <w:rStyle w:val="Lienhypertexte"/>
                <w:b/>
                <w:bCs/>
                <w:i/>
                <w:iCs/>
                <w:noProof/>
              </w:rPr>
              <w:t>II.8.1. Les unités de sciage</w:t>
            </w:r>
            <w:r>
              <w:rPr>
                <w:noProof/>
                <w:webHidden/>
              </w:rPr>
              <w:tab/>
            </w:r>
            <w:r>
              <w:rPr>
                <w:noProof/>
                <w:webHidden/>
              </w:rPr>
              <w:fldChar w:fldCharType="begin"/>
            </w:r>
            <w:r>
              <w:rPr>
                <w:noProof/>
                <w:webHidden/>
              </w:rPr>
              <w:instrText xml:space="preserve"> PAGEREF _Toc462990822 \h </w:instrText>
            </w:r>
            <w:r>
              <w:rPr>
                <w:noProof/>
                <w:webHidden/>
              </w:rPr>
            </w:r>
            <w:r>
              <w:rPr>
                <w:noProof/>
                <w:webHidden/>
              </w:rPr>
              <w:fldChar w:fldCharType="separate"/>
            </w:r>
            <w:r>
              <w:rPr>
                <w:noProof/>
                <w:webHidden/>
              </w:rPr>
              <w:t>21</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23" w:history="1">
            <w:r w:rsidRPr="00CD41D4">
              <w:rPr>
                <w:rStyle w:val="Lienhypertexte"/>
                <w:b/>
                <w:bCs/>
                <w:i/>
                <w:iCs/>
                <w:noProof/>
              </w:rPr>
              <w:t>II.8.2. Les unités de déroulage</w:t>
            </w:r>
            <w:r>
              <w:rPr>
                <w:noProof/>
                <w:webHidden/>
              </w:rPr>
              <w:tab/>
            </w:r>
            <w:r>
              <w:rPr>
                <w:noProof/>
                <w:webHidden/>
              </w:rPr>
              <w:fldChar w:fldCharType="begin"/>
            </w:r>
            <w:r>
              <w:rPr>
                <w:noProof/>
                <w:webHidden/>
              </w:rPr>
              <w:instrText xml:space="preserve"> PAGEREF _Toc462990823 \h </w:instrText>
            </w:r>
            <w:r>
              <w:rPr>
                <w:noProof/>
                <w:webHidden/>
              </w:rPr>
            </w:r>
            <w:r>
              <w:rPr>
                <w:noProof/>
                <w:webHidden/>
              </w:rPr>
              <w:fldChar w:fldCharType="separate"/>
            </w:r>
            <w:r>
              <w:rPr>
                <w:noProof/>
                <w:webHidden/>
              </w:rPr>
              <w:t>21</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24" w:history="1">
            <w:r w:rsidRPr="00CD41D4">
              <w:rPr>
                <w:rStyle w:val="Lienhypertexte"/>
                <w:rFonts w:asciiTheme="majorBidi" w:hAnsiTheme="majorBidi" w:cstheme="majorBidi"/>
                <w:b/>
                <w:bCs/>
                <w:noProof/>
              </w:rPr>
              <w:t>II.9. LES AUTRES INDUSTRIES DE TRANSFORMATION</w:t>
            </w:r>
            <w:r>
              <w:rPr>
                <w:noProof/>
                <w:webHidden/>
              </w:rPr>
              <w:tab/>
            </w:r>
            <w:r>
              <w:rPr>
                <w:noProof/>
                <w:webHidden/>
              </w:rPr>
              <w:fldChar w:fldCharType="begin"/>
            </w:r>
            <w:r>
              <w:rPr>
                <w:noProof/>
                <w:webHidden/>
              </w:rPr>
              <w:instrText xml:space="preserve"> PAGEREF _Toc462990824 \h </w:instrText>
            </w:r>
            <w:r>
              <w:rPr>
                <w:noProof/>
                <w:webHidden/>
              </w:rPr>
            </w:r>
            <w:r>
              <w:rPr>
                <w:noProof/>
                <w:webHidden/>
              </w:rPr>
              <w:fldChar w:fldCharType="separate"/>
            </w:r>
            <w:r>
              <w:rPr>
                <w:noProof/>
                <w:webHidden/>
              </w:rPr>
              <w:t>22</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25" w:history="1">
            <w:r w:rsidRPr="00CD41D4">
              <w:rPr>
                <w:rStyle w:val="Lienhypertexte"/>
                <w:rFonts w:asciiTheme="majorBidi" w:hAnsiTheme="majorBidi" w:cstheme="majorBidi"/>
                <w:b/>
                <w:bCs/>
                <w:i/>
                <w:iCs/>
                <w:noProof/>
              </w:rPr>
              <w:t>II.9.1. La chimie</w:t>
            </w:r>
            <w:r>
              <w:rPr>
                <w:noProof/>
                <w:webHidden/>
              </w:rPr>
              <w:tab/>
            </w:r>
            <w:r>
              <w:rPr>
                <w:noProof/>
                <w:webHidden/>
              </w:rPr>
              <w:fldChar w:fldCharType="begin"/>
            </w:r>
            <w:r>
              <w:rPr>
                <w:noProof/>
                <w:webHidden/>
              </w:rPr>
              <w:instrText xml:space="preserve"> PAGEREF _Toc462990825 \h </w:instrText>
            </w:r>
            <w:r>
              <w:rPr>
                <w:noProof/>
                <w:webHidden/>
              </w:rPr>
            </w:r>
            <w:r>
              <w:rPr>
                <w:noProof/>
                <w:webHidden/>
              </w:rPr>
              <w:fldChar w:fldCharType="separate"/>
            </w:r>
            <w:r>
              <w:rPr>
                <w:noProof/>
                <w:webHidden/>
              </w:rPr>
              <w:t>22</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26" w:history="1">
            <w:r w:rsidRPr="00CD41D4">
              <w:rPr>
                <w:rStyle w:val="Lienhypertexte"/>
                <w:rFonts w:asciiTheme="majorBidi" w:hAnsiTheme="majorBidi" w:cstheme="majorBidi"/>
                <w:b/>
                <w:bCs/>
                <w:i/>
                <w:iCs/>
                <w:noProof/>
              </w:rPr>
              <w:t>II.9.2. Les matériaux de construction</w:t>
            </w:r>
            <w:r>
              <w:rPr>
                <w:noProof/>
                <w:webHidden/>
              </w:rPr>
              <w:tab/>
            </w:r>
            <w:r>
              <w:rPr>
                <w:noProof/>
                <w:webHidden/>
              </w:rPr>
              <w:fldChar w:fldCharType="begin"/>
            </w:r>
            <w:r>
              <w:rPr>
                <w:noProof/>
                <w:webHidden/>
              </w:rPr>
              <w:instrText xml:space="preserve"> PAGEREF _Toc462990826 \h </w:instrText>
            </w:r>
            <w:r>
              <w:rPr>
                <w:noProof/>
                <w:webHidden/>
              </w:rPr>
            </w:r>
            <w:r>
              <w:rPr>
                <w:noProof/>
                <w:webHidden/>
              </w:rPr>
              <w:fldChar w:fldCharType="separate"/>
            </w:r>
            <w:r>
              <w:rPr>
                <w:noProof/>
                <w:webHidden/>
              </w:rPr>
              <w:t>23</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27" w:history="1">
            <w:r w:rsidRPr="00CD41D4">
              <w:rPr>
                <w:rStyle w:val="Lienhypertexte"/>
                <w:rFonts w:asciiTheme="majorBidi" w:hAnsiTheme="majorBidi" w:cstheme="majorBidi"/>
                <w:b/>
                <w:bCs/>
                <w:i/>
                <w:iCs/>
                <w:noProof/>
              </w:rPr>
              <w:t>II.9.3. La seconde transformation des métaux</w:t>
            </w:r>
            <w:r>
              <w:rPr>
                <w:noProof/>
                <w:webHidden/>
              </w:rPr>
              <w:tab/>
            </w:r>
            <w:r>
              <w:rPr>
                <w:noProof/>
                <w:webHidden/>
              </w:rPr>
              <w:fldChar w:fldCharType="begin"/>
            </w:r>
            <w:r>
              <w:rPr>
                <w:noProof/>
                <w:webHidden/>
              </w:rPr>
              <w:instrText xml:space="preserve"> PAGEREF _Toc462990827 \h </w:instrText>
            </w:r>
            <w:r>
              <w:rPr>
                <w:noProof/>
                <w:webHidden/>
              </w:rPr>
            </w:r>
            <w:r>
              <w:rPr>
                <w:noProof/>
                <w:webHidden/>
              </w:rPr>
              <w:fldChar w:fldCharType="separate"/>
            </w:r>
            <w:r>
              <w:rPr>
                <w:noProof/>
                <w:webHidden/>
              </w:rPr>
              <w:t>24</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28" w:history="1">
            <w:r w:rsidRPr="00CD41D4">
              <w:rPr>
                <w:rStyle w:val="Lienhypertexte"/>
                <w:rFonts w:asciiTheme="majorBidi" w:hAnsiTheme="majorBidi" w:cstheme="majorBidi"/>
                <w:b/>
                <w:bCs/>
                <w:noProof/>
              </w:rPr>
              <w:t>II.10. LE RAFFINAGE</w:t>
            </w:r>
            <w:r>
              <w:rPr>
                <w:noProof/>
                <w:webHidden/>
              </w:rPr>
              <w:tab/>
            </w:r>
            <w:r>
              <w:rPr>
                <w:noProof/>
                <w:webHidden/>
              </w:rPr>
              <w:fldChar w:fldCharType="begin"/>
            </w:r>
            <w:r>
              <w:rPr>
                <w:noProof/>
                <w:webHidden/>
              </w:rPr>
              <w:instrText xml:space="preserve"> PAGEREF _Toc462990828 \h </w:instrText>
            </w:r>
            <w:r>
              <w:rPr>
                <w:noProof/>
                <w:webHidden/>
              </w:rPr>
            </w:r>
            <w:r>
              <w:rPr>
                <w:noProof/>
                <w:webHidden/>
              </w:rPr>
              <w:fldChar w:fldCharType="separate"/>
            </w:r>
            <w:r>
              <w:rPr>
                <w:noProof/>
                <w:webHidden/>
              </w:rPr>
              <w:t>25</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29" w:history="1">
            <w:r w:rsidRPr="00CD41D4">
              <w:rPr>
                <w:rStyle w:val="Lienhypertexte"/>
                <w:rFonts w:asciiTheme="majorBidi" w:hAnsiTheme="majorBidi" w:cstheme="majorBidi"/>
                <w:b/>
                <w:bCs/>
                <w:noProof/>
              </w:rPr>
              <w:t>II.11. LA PRODUCTION ET LA DISTRIBUTION D’EAU ET D’ELECTRICITE</w:t>
            </w:r>
            <w:r>
              <w:rPr>
                <w:noProof/>
                <w:webHidden/>
              </w:rPr>
              <w:tab/>
            </w:r>
            <w:r>
              <w:rPr>
                <w:noProof/>
                <w:webHidden/>
              </w:rPr>
              <w:fldChar w:fldCharType="begin"/>
            </w:r>
            <w:r>
              <w:rPr>
                <w:noProof/>
                <w:webHidden/>
              </w:rPr>
              <w:instrText xml:space="preserve"> PAGEREF _Toc462990829 \h </w:instrText>
            </w:r>
            <w:r>
              <w:rPr>
                <w:noProof/>
                <w:webHidden/>
              </w:rPr>
            </w:r>
            <w:r>
              <w:rPr>
                <w:noProof/>
                <w:webHidden/>
              </w:rPr>
              <w:fldChar w:fldCharType="separate"/>
            </w:r>
            <w:r>
              <w:rPr>
                <w:noProof/>
                <w:webHidden/>
              </w:rPr>
              <w:t>25</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30" w:history="1">
            <w:r w:rsidRPr="00CD41D4">
              <w:rPr>
                <w:rStyle w:val="Lienhypertexte"/>
                <w:rFonts w:asciiTheme="majorBidi" w:hAnsiTheme="majorBidi" w:cstheme="majorBidi"/>
                <w:b/>
                <w:bCs/>
                <w:noProof/>
              </w:rPr>
              <w:t>II.11.1. L’électricité</w:t>
            </w:r>
            <w:r>
              <w:rPr>
                <w:noProof/>
                <w:webHidden/>
              </w:rPr>
              <w:tab/>
            </w:r>
            <w:r>
              <w:rPr>
                <w:noProof/>
                <w:webHidden/>
              </w:rPr>
              <w:fldChar w:fldCharType="begin"/>
            </w:r>
            <w:r>
              <w:rPr>
                <w:noProof/>
                <w:webHidden/>
              </w:rPr>
              <w:instrText xml:space="preserve"> PAGEREF _Toc462990830 \h </w:instrText>
            </w:r>
            <w:r>
              <w:rPr>
                <w:noProof/>
                <w:webHidden/>
              </w:rPr>
            </w:r>
            <w:r>
              <w:rPr>
                <w:noProof/>
                <w:webHidden/>
              </w:rPr>
              <w:fldChar w:fldCharType="separate"/>
            </w:r>
            <w:r>
              <w:rPr>
                <w:noProof/>
                <w:webHidden/>
              </w:rPr>
              <w:t>25</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31" w:history="1">
            <w:r w:rsidRPr="00CD41D4">
              <w:rPr>
                <w:rStyle w:val="Lienhypertexte"/>
                <w:rFonts w:asciiTheme="majorBidi" w:hAnsiTheme="majorBidi" w:cstheme="majorBidi"/>
                <w:b/>
                <w:bCs/>
                <w:noProof/>
              </w:rPr>
              <w:t>II.11.2. L’eau</w:t>
            </w:r>
            <w:r>
              <w:rPr>
                <w:noProof/>
                <w:webHidden/>
              </w:rPr>
              <w:tab/>
            </w:r>
            <w:r>
              <w:rPr>
                <w:noProof/>
                <w:webHidden/>
              </w:rPr>
              <w:fldChar w:fldCharType="begin"/>
            </w:r>
            <w:r>
              <w:rPr>
                <w:noProof/>
                <w:webHidden/>
              </w:rPr>
              <w:instrText xml:space="preserve"> PAGEREF _Toc462990831 \h </w:instrText>
            </w:r>
            <w:r>
              <w:rPr>
                <w:noProof/>
                <w:webHidden/>
              </w:rPr>
            </w:r>
            <w:r>
              <w:rPr>
                <w:noProof/>
                <w:webHidden/>
              </w:rPr>
              <w:fldChar w:fldCharType="separate"/>
            </w:r>
            <w:r>
              <w:rPr>
                <w:noProof/>
                <w:webHidden/>
              </w:rPr>
              <w:t>26</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32" w:history="1">
            <w:r w:rsidRPr="00CD41D4">
              <w:rPr>
                <w:rStyle w:val="Lienhypertexte"/>
                <w:rFonts w:asciiTheme="majorBidi" w:hAnsiTheme="majorBidi" w:cstheme="majorBidi"/>
                <w:b/>
                <w:bCs/>
                <w:noProof/>
              </w:rPr>
              <w:t>II.12. LE BATIMENT ET LES TRAVAUX PUBLICS</w:t>
            </w:r>
            <w:r>
              <w:rPr>
                <w:noProof/>
                <w:webHidden/>
              </w:rPr>
              <w:tab/>
            </w:r>
            <w:r>
              <w:rPr>
                <w:noProof/>
                <w:webHidden/>
              </w:rPr>
              <w:fldChar w:fldCharType="begin"/>
            </w:r>
            <w:r>
              <w:rPr>
                <w:noProof/>
                <w:webHidden/>
              </w:rPr>
              <w:instrText xml:space="preserve"> PAGEREF _Toc462990832 \h </w:instrText>
            </w:r>
            <w:r>
              <w:rPr>
                <w:noProof/>
                <w:webHidden/>
              </w:rPr>
            </w:r>
            <w:r>
              <w:rPr>
                <w:noProof/>
                <w:webHidden/>
              </w:rPr>
              <w:fldChar w:fldCharType="separate"/>
            </w:r>
            <w:r>
              <w:rPr>
                <w:noProof/>
                <w:webHidden/>
              </w:rPr>
              <w:t>26</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33" w:history="1">
            <w:r w:rsidRPr="00CD41D4">
              <w:rPr>
                <w:rStyle w:val="Lienhypertexte"/>
                <w:rFonts w:asciiTheme="majorBidi" w:hAnsiTheme="majorBidi" w:cstheme="majorBidi"/>
                <w:b/>
                <w:bCs/>
                <w:noProof/>
              </w:rPr>
              <w:t>II.13. LE TRANSPORT ET LES AUXILIAIRES DE TRANSPORT</w:t>
            </w:r>
            <w:r>
              <w:rPr>
                <w:noProof/>
                <w:webHidden/>
              </w:rPr>
              <w:tab/>
            </w:r>
            <w:r>
              <w:rPr>
                <w:noProof/>
                <w:webHidden/>
              </w:rPr>
              <w:fldChar w:fldCharType="begin"/>
            </w:r>
            <w:r>
              <w:rPr>
                <w:noProof/>
                <w:webHidden/>
              </w:rPr>
              <w:instrText xml:space="preserve"> PAGEREF _Toc462990833 \h </w:instrText>
            </w:r>
            <w:r>
              <w:rPr>
                <w:noProof/>
                <w:webHidden/>
              </w:rPr>
            </w:r>
            <w:r>
              <w:rPr>
                <w:noProof/>
                <w:webHidden/>
              </w:rPr>
              <w:fldChar w:fldCharType="separate"/>
            </w:r>
            <w:r>
              <w:rPr>
                <w:noProof/>
                <w:webHidden/>
              </w:rPr>
              <w:t>27</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34" w:history="1">
            <w:r w:rsidRPr="00CD41D4">
              <w:rPr>
                <w:rStyle w:val="Lienhypertexte"/>
                <w:rFonts w:asciiTheme="majorBidi" w:hAnsiTheme="majorBidi" w:cstheme="majorBidi"/>
                <w:b/>
                <w:bCs/>
                <w:i/>
                <w:iCs/>
                <w:noProof/>
              </w:rPr>
              <w:t>II.13.1. Le transport aérien</w:t>
            </w:r>
            <w:r>
              <w:rPr>
                <w:noProof/>
                <w:webHidden/>
              </w:rPr>
              <w:tab/>
            </w:r>
            <w:r>
              <w:rPr>
                <w:noProof/>
                <w:webHidden/>
              </w:rPr>
              <w:fldChar w:fldCharType="begin"/>
            </w:r>
            <w:r>
              <w:rPr>
                <w:noProof/>
                <w:webHidden/>
              </w:rPr>
              <w:instrText xml:space="preserve"> PAGEREF _Toc462990834 \h </w:instrText>
            </w:r>
            <w:r>
              <w:rPr>
                <w:noProof/>
                <w:webHidden/>
              </w:rPr>
            </w:r>
            <w:r>
              <w:rPr>
                <w:noProof/>
                <w:webHidden/>
              </w:rPr>
              <w:fldChar w:fldCharType="separate"/>
            </w:r>
            <w:r>
              <w:rPr>
                <w:noProof/>
                <w:webHidden/>
              </w:rPr>
              <w:t>27</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35" w:history="1">
            <w:r w:rsidRPr="00CD41D4">
              <w:rPr>
                <w:rStyle w:val="Lienhypertexte"/>
                <w:rFonts w:asciiTheme="majorBidi" w:hAnsiTheme="majorBidi" w:cstheme="majorBidi"/>
                <w:b/>
                <w:bCs/>
                <w:i/>
                <w:iCs/>
                <w:noProof/>
              </w:rPr>
              <w:t>II.13.2. Le transport ferroviaire</w:t>
            </w:r>
            <w:r>
              <w:rPr>
                <w:noProof/>
                <w:webHidden/>
              </w:rPr>
              <w:tab/>
            </w:r>
            <w:r>
              <w:rPr>
                <w:noProof/>
                <w:webHidden/>
              </w:rPr>
              <w:fldChar w:fldCharType="begin"/>
            </w:r>
            <w:r>
              <w:rPr>
                <w:noProof/>
                <w:webHidden/>
              </w:rPr>
              <w:instrText xml:space="preserve"> PAGEREF _Toc462990835 \h </w:instrText>
            </w:r>
            <w:r>
              <w:rPr>
                <w:noProof/>
                <w:webHidden/>
              </w:rPr>
            </w:r>
            <w:r>
              <w:rPr>
                <w:noProof/>
                <w:webHidden/>
              </w:rPr>
              <w:fldChar w:fldCharType="separate"/>
            </w:r>
            <w:r>
              <w:rPr>
                <w:noProof/>
                <w:webHidden/>
              </w:rPr>
              <w:t>28</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36" w:history="1">
            <w:r w:rsidRPr="00CD41D4">
              <w:rPr>
                <w:rStyle w:val="Lienhypertexte"/>
                <w:rFonts w:asciiTheme="majorBidi" w:hAnsiTheme="majorBidi" w:cstheme="majorBidi"/>
                <w:b/>
                <w:bCs/>
                <w:noProof/>
              </w:rPr>
              <w:t>II.14. LES TELECOMMUNICATIONS</w:t>
            </w:r>
            <w:r>
              <w:rPr>
                <w:noProof/>
                <w:webHidden/>
              </w:rPr>
              <w:tab/>
            </w:r>
            <w:r>
              <w:rPr>
                <w:noProof/>
                <w:webHidden/>
              </w:rPr>
              <w:fldChar w:fldCharType="begin"/>
            </w:r>
            <w:r>
              <w:rPr>
                <w:noProof/>
                <w:webHidden/>
              </w:rPr>
              <w:instrText xml:space="preserve"> PAGEREF _Toc462990836 \h </w:instrText>
            </w:r>
            <w:r>
              <w:rPr>
                <w:noProof/>
                <w:webHidden/>
              </w:rPr>
            </w:r>
            <w:r>
              <w:rPr>
                <w:noProof/>
                <w:webHidden/>
              </w:rPr>
              <w:fldChar w:fldCharType="separate"/>
            </w:r>
            <w:r>
              <w:rPr>
                <w:noProof/>
                <w:webHidden/>
              </w:rPr>
              <w:t>28</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37" w:history="1">
            <w:r w:rsidRPr="00CD41D4">
              <w:rPr>
                <w:rStyle w:val="Lienhypertexte"/>
                <w:rFonts w:asciiTheme="majorBidi" w:hAnsiTheme="majorBidi" w:cstheme="majorBidi"/>
                <w:b/>
                <w:bCs/>
                <w:noProof/>
              </w:rPr>
              <w:t>II.15. LE COMMERCE</w:t>
            </w:r>
            <w:r>
              <w:rPr>
                <w:noProof/>
                <w:webHidden/>
              </w:rPr>
              <w:tab/>
            </w:r>
            <w:r>
              <w:rPr>
                <w:noProof/>
                <w:webHidden/>
              </w:rPr>
              <w:fldChar w:fldCharType="begin"/>
            </w:r>
            <w:r>
              <w:rPr>
                <w:noProof/>
                <w:webHidden/>
              </w:rPr>
              <w:instrText xml:space="preserve"> PAGEREF _Toc462990837 \h </w:instrText>
            </w:r>
            <w:r>
              <w:rPr>
                <w:noProof/>
                <w:webHidden/>
              </w:rPr>
            </w:r>
            <w:r>
              <w:rPr>
                <w:noProof/>
                <w:webHidden/>
              </w:rPr>
              <w:fldChar w:fldCharType="separate"/>
            </w:r>
            <w:r>
              <w:rPr>
                <w:noProof/>
                <w:webHidden/>
              </w:rPr>
              <w:t>29</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38" w:history="1">
            <w:r w:rsidRPr="00CD41D4">
              <w:rPr>
                <w:rStyle w:val="Lienhypertexte"/>
                <w:rFonts w:asciiTheme="majorBidi" w:hAnsiTheme="majorBidi" w:cstheme="majorBidi"/>
                <w:b/>
                <w:bCs/>
                <w:i/>
                <w:iCs/>
                <w:noProof/>
              </w:rPr>
              <w:t>II.15.1. Le commerce général structuré</w:t>
            </w:r>
            <w:r>
              <w:rPr>
                <w:noProof/>
                <w:webHidden/>
              </w:rPr>
              <w:tab/>
            </w:r>
            <w:r>
              <w:rPr>
                <w:noProof/>
                <w:webHidden/>
              </w:rPr>
              <w:fldChar w:fldCharType="begin"/>
            </w:r>
            <w:r>
              <w:rPr>
                <w:noProof/>
                <w:webHidden/>
              </w:rPr>
              <w:instrText xml:space="preserve"> PAGEREF _Toc462990838 \h </w:instrText>
            </w:r>
            <w:r>
              <w:rPr>
                <w:noProof/>
                <w:webHidden/>
              </w:rPr>
            </w:r>
            <w:r>
              <w:rPr>
                <w:noProof/>
                <w:webHidden/>
              </w:rPr>
              <w:fldChar w:fldCharType="separate"/>
            </w:r>
            <w:r>
              <w:rPr>
                <w:noProof/>
                <w:webHidden/>
              </w:rPr>
              <w:t>29</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39" w:history="1">
            <w:r w:rsidRPr="00CD41D4">
              <w:rPr>
                <w:rStyle w:val="Lienhypertexte"/>
                <w:rFonts w:asciiTheme="majorBidi" w:hAnsiTheme="majorBidi" w:cstheme="majorBidi"/>
                <w:b/>
                <w:bCs/>
                <w:i/>
                <w:iCs/>
                <w:noProof/>
              </w:rPr>
              <w:t>II.15.2. Le commerce des véhicules neufs</w:t>
            </w:r>
            <w:r>
              <w:rPr>
                <w:noProof/>
                <w:webHidden/>
              </w:rPr>
              <w:tab/>
            </w:r>
            <w:r>
              <w:rPr>
                <w:noProof/>
                <w:webHidden/>
              </w:rPr>
              <w:fldChar w:fldCharType="begin"/>
            </w:r>
            <w:r>
              <w:rPr>
                <w:noProof/>
                <w:webHidden/>
              </w:rPr>
              <w:instrText xml:space="preserve"> PAGEREF _Toc462990839 \h </w:instrText>
            </w:r>
            <w:r>
              <w:rPr>
                <w:noProof/>
                <w:webHidden/>
              </w:rPr>
            </w:r>
            <w:r>
              <w:rPr>
                <w:noProof/>
                <w:webHidden/>
              </w:rPr>
              <w:fldChar w:fldCharType="separate"/>
            </w:r>
            <w:r>
              <w:rPr>
                <w:noProof/>
                <w:webHidden/>
              </w:rPr>
              <w:t>29</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40" w:history="1">
            <w:r w:rsidRPr="00CD41D4">
              <w:rPr>
                <w:rStyle w:val="Lienhypertexte"/>
                <w:rFonts w:asciiTheme="majorBidi" w:hAnsiTheme="majorBidi" w:cstheme="majorBidi"/>
                <w:b/>
                <w:bCs/>
                <w:i/>
                <w:iCs/>
                <w:noProof/>
              </w:rPr>
              <w:t>II.15.3. Le commerce des produits pétroliers</w:t>
            </w:r>
            <w:r>
              <w:rPr>
                <w:noProof/>
                <w:webHidden/>
              </w:rPr>
              <w:tab/>
            </w:r>
            <w:r>
              <w:rPr>
                <w:noProof/>
                <w:webHidden/>
              </w:rPr>
              <w:fldChar w:fldCharType="begin"/>
            </w:r>
            <w:r>
              <w:rPr>
                <w:noProof/>
                <w:webHidden/>
              </w:rPr>
              <w:instrText xml:space="preserve"> PAGEREF _Toc462990840 \h </w:instrText>
            </w:r>
            <w:r>
              <w:rPr>
                <w:noProof/>
                <w:webHidden/>
              </w:rPr>
            </w:r>
            <w:r>
              <w:rPr>
                <w:noProof/>
                <w:webHidden/>
              </w:rPr>
              <w:fldChar w:fldCharType="separate"/>
            </w:r>
            <w:r>
              <w:rPr>
                <w:noProof/>
                <w:webHidden/>
              </w:rPr>
              <w:t>30</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41" w:history="1">
            <w:r w:rsidRPr="00CD41D4">
              <w:rPr>
                <w:rStyle w:val="Lienhypertexte"/>
                <w:rFonts w:asciiTheme="majorBidi" w:hAnsiTheme="majorBidi" w:cstheme="majorBidi"/>
                <w:b/>
                <w:bCs/>
                <w:i/>
                <w:iCs/>
                <w:noProof/>
              </w:rPr>
              <w:t>II.15.4. Le commerce des produits pharmaceutiques</w:t>
            </w:r>
            <w:r>
              <w:rPr>
                <w:noProof/>
                <w:webHidden/>
              </w:rPr>
              <w:tab/>
            </w:r>
            <w:r>
              <w:rPr>
                <w:noProof/>
                <w:webHidden/>
              </w:rPr>
              <w:fldChar w:fldCharType="begin"/>
            </w:r>
            <w:r>
              <w:rPr>
                <w:noProof/>
                <w:webHidden/>
              </w:rPr>
              <w:instrText xml:space="preserve"> PAGEREF _Toc462990841 \h </w:instrText>
            </w:r>
            <w:r>
              <w:rPr>
                <w:noProof/>
                <w:webHidden/>
              </w:rPr>
            </w:r>
            <w:r>
              <w:rPr>
                <w:noProof/>
                <w:webHidden/>
              </w:rPr>
              <w:fldChar w:fldCharType="separate"/>
            </w:r>
            <w:r>
              <w:rPr>
                <w:noProof/>
                <w:webHidden/>
              </w:rPr>
              <w:t>30</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42" w:history="1">
            <w:r w:rsidRPr="00CD41D4">
              <w:rPr>
                <w:rStyle w:val="Lienhypertexte"/>
                <w:rFonts w:asciiTheme="majorBidi" w:hAnsiTheme="majorBidi" w:cstheme="majorBidi"/>
                <w:b/>
                <w:bCs/>
                <w:noProof/>
              </w:rPr>
              <w:t>II.16. LES SERVICES</w:t>
            </w:r>
            <w:r>
              <w:rPr>
                <w:noProof/>
                <w:webHidden/>
              </w:rPr>
              <w:tab/>
            </w:r>
            <w:r>
              <w:rPr>
                <w:noProof/>
                <w:webHidden/>
              </w:rPr>
              <w:fldChar w:fldCharType="begin"/>
            </w:r>
            <w:r>
              <w:rPr>
                <w:noProof/>
                <w:webHidden/>
              </w:rPr>
              <w:instrText xml:space="preserve"> PAGEREF _Toc462990842 \h </w:instrText>
            </w:r>
            <w:r>
              <w:rPr>
                <w:noProof/>
                <w:webHidden/>
              </w:rPr>
            </w:r>
            <w:r>
              <w:rPr>
                <w:noProof/>
                <w:webHidden/>
              </w:rPr>
              <w:fldChar w:fldCharType="separate"/>
            </w:r>
            <w:r>
              <w:rPr>
                <w:noProof/>
                <w:webHidden/>
              </w:rPr>
              <w:t>30</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43" w:history="1">
            <w:r w:rsidRPr="00CD41D4">
              <w:rPr>
                <w:rStyle w:val="Lienhypertexte"/>
                <w:rFonts w:asciiTheme="majorBidi" w:hAnsiTheme="majorBidi" w:cstheme="majorBidi"/>
                <w:b/>
                <w:bCs/>
                <w:i/>
                <w:iCs/>
                <w:noProof/>
              </w:rPr>
              <w:t>II.16.1. Les services rendus aux entreprises</w:t>
            </w:r>
            <w:r>
              <w:rPr>
                <w:noProof/>
                <w:webHidden/>
              </w:rPr>
              <w:tab/>
            </w:r>
            <w:r>
              <w:rPr>
                <w:noProof/>
                <w:webHidden/>
              </w:rPr>
              <w:fldChar w:fldCharType="begin"/>
            </w:r>
            <w:r>
              <w:rPr>
                <w:noProof/>
                <w:webHidden/>
              </w:rPr>
              <w:instrText xml:space="preserve"> PAGEREF _Toc462990843 \h </w:instrText>
            </w:r>
            <w:r>
              <w:rPr>
                <w:noProof/>
                <w:webHidden/>
              </w:rPr>
            </w:r>
            <w:r>
              <w:rPr>
                <w:noProof/>
                <w:webHidden/>
              </w:rPr>
              <w:fldChar w:fldCharType="separate"/>
            </w:r>
            <w:r>
              <w:rPr>
                <w:noProof/>
                <w:webHidden/>
              </w:rPr>
              <w:t>31</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44" w:history="1">
            <w:r w:rsidRPr="00CD41D4">
              <w:rPr>
                <w:rStyle w:val="Lienhypertexte"/>
                <w:rFonts w:asciiTheme="majorBidi" w:hAnsiTheme="majorBidi" w:cstheme="majorBidi"/>
                <w:b/>
                <w:bCs/>
                <w:i/>
                <w:iCs/>
                <w:noProof/>
              </w:rPr>
              <w:t>II.16.2. Les services rendus aux particuliers</w:t>
            </w:r>
            <w:r>
              <w:rPr>
                <w:noProof/>
                <w:webHidden/>
              </w:rPr>
              <w:tab/>
            </w:r>
            <w:r>
              <w:rPr>
                <w:noProof/>
                <w:webHidden/>
              </w:rPr>
              <w:fldChar w:fldCharType="begin"/>
            </w:r>
            <w:r>
              <w:rPr>
                <w:noProof/>
                <w:webHidden/>
              </w:rPr>
              <w:instrText xml:space="preserve"> PAGEREF _Toc462990844 \h </w:instrText>
            </w:r>
            <w:r>
              <w:rPr>
                <w:noProof/>
                <w:webHidden/>
              </w:rPr>
            </w:r>
            <w:r>
              <w:rPr>
                <w:noProof/>
                <w:webHidden/>
              </w:rPr>
              <w:fldChar w:fldCharType="separate"/>
            </w:r>
            <w:r>
              <w:rPr>
                <w:noProof/>
                <w:webHidden/>
              </w:rPr>
              <w:t>31</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45" w:history="1">
            <w:r w:rsidRPr="00CD41D4">
              <w:rPr>
                <w:rStyle w:val="Lienhypertexte"/>
                <w:rFonts w:asciiTheme="majorBidi" w:hAnsiTheme="majorBidi" w:cstheme="majorBidi"/>
                <w:b/>
                <w:bCs/>
                <w:i/>
                <w:iCs/>
                <w:noProof/>
              </w:rPr>
              <w:t>II.16.3. Les services immobiliers</w:t>
            </w:r>
            <w:r>
              <w:rPr>
                <w:noProof/>
                <w:webHidden/>
              </w:rPr>
              <w:tab/>
            </w:r>
            <w:r>
              <w:rPr>
                <w:noProof/>
                <w:webHidden/>
              </w:rPr>
              <w:fldChar w:fldCharType="begin"/>
            </w:r>
            <w:r>
              <w:rPr>
                <w:noProof/>
                <w:webHidden/>
              </w:rPr>
              <w:instrText xml:space="preserve"> PAGEREF _Toc462990845 \h </w:instrText>
            </w:r>
            <w:r>
              <w:rPr>
                <w:noProof/>
                <w:webHidden/>
              </w:rPr>
            </w:r>
            <w:r>
              <w:rPr>
                <w:noProof/>
                <w:webHidden/>
              </w:rPr>
              <w:fldChar w:fldCharType="separate"/>
            </w:r>
            <w:r>
              <w:rPr>
                <w:noProof/>
                <w:webHidden/>
              </w:rPr>
              <w:t>31</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46" w:history="1">
            <w:r w:rsidRPr="00CD41D4">
              <w:rPr>
                <w:rStyle w:val="Lienhypertexte"/>
                <w:rFonts w:asciiTheme="majorBidi" w:hAnsiTheme="majorBidi" w:cstheme="majorBidi"/>
                <w:b/>
                <w:bCs/>
                <w:i/>
                <w:iCs/>
                <w:noProof/>
              </w:rPr>
              <w:t>II.16.4. Les services de réparation mécanique</w:t>
            </w:r>
            <w:r>
              <w:rPr>
                <w:noProof/>
                <w:webHidden/>
              </w:rPr>
              <w:tab/>
            </w:r>
            <w:r>
              <w:rPr>
                <w:noProof/>
                <w:webHidden/>
              </w:rPr>
              <w:fldChar w:fldCharType="begin"/>
            </w:r>
            <w:r>
              <w:rPr>
                <w:noProof/>
                <w:webHidden/>
              </w:rPr>
              <w:instrText xml:space="preserve"> PAGEREF _Toc462990846 \h </w:instrText>
            </w:r>
            <w:r>
              <w:rPr>
                <w:noProof/>
                <w:webHidden/>
              </w:rPr>
            </w:r>
            <w:r>
              <w:rPr>
                <w:noProof/>
                <w:webHidden/>
              </w:rPr>
              <w:fldChar w:fldCharType="separate"/>
            </w:r>
            <w:r>
              <w:rPr>
                <w:noProof/>
                <w:webHidden/>
              </w:rPr>
              <w:t>31</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47" w:history="1">
            <w:r w:rsidRPr="00CD41D4">
              <w:rPr>
                <w:rStyle w:val="Lienhypertexte"/>
                <w:rFonts w:asciiTheme="majorBidi" w:hAnsiTheme="majorBidi" w:cstheme="majorBidi"/>
                <w:b/>
                <w:bCs/>
                <w:noProof/>
              </w:rPr>
              <w:t>II.17. L’HOTELLERIE ET LA RESTAURATION</w:t>
            </w:r>
            <w:r>
              <w:rPr>
                <w:noProof/>
                <w:webHidden/>
              </w:rPr>
              <w:tab/>
            </w:r>
            <w:r>
              <w:rPr>
                <w:noProof/>
                <w:webHidden/>
              </w:rPr>
              <w:fldChar w:fldCharType="begin"/>
            </w:r>
            <w:r>
              <w:rPr>
                <w:noProof/>
                <w:webHidden/>
              </w:rPr>
              <w:instrText xml:space="preserve"> PAGEREF _Toc462990847 \h </w:instrText>
            </w:r>
            <w:r>
              <w:rPr>
                <w:noProof/>
                <w:webHidden/>
              </w:rPr>
            </w:r>
            <w:r>
              <w:rPr>
                <w:noProof/>
                <w:webHidden/>
              </w:rPr>
              <w:fldChar w:fldCharType="separate"/>
            </w:r>
            <w:r>
              <w:rPr>
                <w:noProof/>
                <w:webHidden/>
              </w:rPr>
              <w:t>32</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48" w:history="1">
            <w:r w:rsidRPr="00CD41D4">
              <w:rPr>
                <w:rStyle w:val="Lienhypertexte"/>
                <w:rFonts w:asciiTheme="majorBidi" w:hAnsiTheme="majorBidi" w:cstheme="majorBidi"/>
                <w:b/>
                <w:bCs/>
                <w:noProof/>
              </w:rPr>
              <w:t>II.18 LA SITUATION DU SYSTEME BANCAIRE</w:t>
            </w:r>
            <w:r>
              <w:rPr>
                <w:noProof/>
                <w:webHidden/>
              </w:rPr>
              <w:tab/>
            </w:r>
            <w:r>
              <w:rPr>
                <w:noProof/>
                <w:webHidden/>
              </w:rPr>
              <w:fldChar w:fldCharType="begin"/>
            </w:r>
            <w:r>
              <w:rPr>
                <w:noProof/>
                <w:webHidden/>
              </w:rPr>
              <w:instrText xml:space="preserve"> PAGEREF _Toc462990848 \h </w:instrText>
            </w:r>
            <w:r>
              <w:rPr>
                <w:noProof/>
                <w:webHidden/>
              </w:rPr>
            </w:r>
            <w:r>
              <w:rPr>
                <w:noProof/>
                <w:webHidden/>
              </w:rPr>
              <w:fldChar w:fldCharType="separate"/>
            </w:r>
            <w:r>
              <w:rPr>
                <w:noProof/>
                <w:webHidden/>
              </w:rPr>
              <w:t>32</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49" w:history="1">
            <w:r w:rsidRPr="00CD41D4">
              <w:rPr>
                <w:rStyle w:val="Lienhypertexte"/>
                <w:b/>
                <w:bCs/>
                <w:i/>
                <w:iCs/>
                <w:noProof/>
              </w:rPr>
              <w:t>II.18.1.1 Les ressources collectées</w:t>
            </w:r>
            <w:r>
              <w:rPr>
                <w:noProof/>
                <w:webHidden/>
              </w:rPr>
              <w:tab/>
            </w:r>
            <w:r>
              <w:rPr>
                <w:noProof/>
                <w:webHidden/>
              </w:rPr>
              <w:fldChar w:fldCharType="begin"/>
            </w:r>
            <w:r>
              <w:rPr>
                <w:noProof/>
                <w:webHidden/>
              </w:rPr>
              <w:instrText xml:space="preserve"> PAGEREF _Toc462990849 \h </w:instrText>
            </w:r>
            <w:r>
              <w:rPr>
                <w:noProof/>
                <w:webHidden/>
              </w:rPr>
            </w:r>
            <w:r>
              <w:rPr>
                <w:noProof/>
                <w:webHidden/>
              </w:rPr>
              <w:fldChar w:fldCharType="separate"/>
            </w:r>
            <w:r>
              <w:rPr>
                <w:noProof/>
                <w:webHidden/>
              </w:rPr>
              <w:t>32</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50" w:history="1">
            <w:r w:rsidRPr="00CD41D4">
              <w:rPr>
                <w:rStyle w:val="Lienhypertexte"/>
                <w:b/>
                <w:bCs/>
                <w:i/>
                <w:iCs/>
                <w:noProof/>
              </w:rPr>
              <w:t>II.18.1.2 Les crédits distribués</w:t>
            </w:r>
            <w:r>
              <w:rPr>
                <w:noProof/>
                <w:webHidden/>
              </w:rPr>
              <w:tab/>
            </w:r>
            <w:r>
              <w:rPr>
                <w:noProof/>
                <w:webHidden/>
              </w:rPr>
              <w:fldChar w:fldCharType="begin"/>
            </w:r>
            <w:r>
              <w:rPr>
                <w:noProof/>
                <w:webHidden/>
              </w:rPr>
              <w:instrText xml:space="preserve"> PAGEREF _Toc462990850 \h </w:instrText>
            </w:r>
            <w:r>
              <w:rPr>
                <w:noProof/>
                <w:webHidden/>
              </w:rPr>
            </w:r>
            <w:r>
              <w:rPr>
                <w:noProof/>
                <w:webHidden/>
              </w:rPr>
              <w:fldChar w:fldCharType="separate"/>
            </w:r>
            <w:r>
              <w:rPr>
                <w:noProof/>
                <w:webHidden/>
              </w:rPr>
              <w:t>33</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51" w:history="1">
            <w:r w:rsidRPr="00CD41D4">
              <w:rPr>
                <w:rStyle w:val="Lienhypertexte"/>
                <w:rFonts w:asciiTheme="majorBidi" w:hAnsiTheme="majorBidi" w:cstheme="majorBidi"/>
                <w:b/>
                <w:bCs/>
                <w:noProof/>
              </w:rPr>
              <w:t>II.19.LES ACTIVITES DE MICROFINANCE</w:t>
            </w:r>
            <w:r>
              <w:rPr>
                <w:noProof/>
                <w:webHidden/>
              </w:rPr>
              <w:tab/>
            </w:r>
            <w:r>
              <w:rPr>
                <w:noProof/>
                <w:webHidden/>
              </w:rPr>
              <w:fldChar w:fldCharType="begin"/>
            </w:r>
            <w:r>
              <w:rPr>
                <w:noProof/>
                <w:webHidden/>
              </w:rPr>
              <w:instrText xml:space="preserve"> PAGEREF _Toc462990851 \h </w:instrText>
            </w:r>
            <w:r>
              <w:rPr>
                <w:noProof/>
                <w:webHidden/>
              </w:rPr>
            </w:r>
            <w:r>
              <w:rPr>
                <w:noProof/>
                <w:webHidden/>
              </w:rPr>
              <w:fldChar w:fldCharType="separate"/>
            </w:r>
            <w:r>
              <w:rPr>
                <w:noProof/>
                <w:webHidden/>
              </w:rPr>
              <w:t>34</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52" w:history="1">
            <w:r w:rsidRPr="00CD41D4">
              <w:rPr>
                <w:rStyle w:val="Lienhypertexte"/>
                <w:b/>
                <w:bCs/>
                <w:i/>
                <w:iCs/>
                <w:noProof/>
              </w:rPr>
              <w:t>II.19.1. La configuration du secteur</w:t>
            </w:r>
            <w:r>
              <w:rPr>
                <w:noProof/>
                <w:webHidden/>
              </w:rPr>
              <w:tab/>
            </w:r>
            <w:r>
              <w:rPr>
                <w:noProof/>
                <w:webHidden/>
              </w:rPr>
              <w:fldChar w:fldCharType="begin"/>
            </w:r>
            <w:r>
              <w:rPr>
                <w:noProof/>
                <w:webHidden/>
              </w:rPr>
              <w:instrText xml:space="preserve"> PAGEREF _Toc462990852 \h </w:instrText>
            </w:r>
            <w:r>
              <w:rPr>
                <w:noProof/>
                <w:webHidden/>
              </w:rPr>
            </w:r>
            <w:r>
              <w:rPr>
                <w:noProof/>
                <w:webHidden/>
              </w:rPr>
              <w:fldChar w:fldCharType="separate"/>
            </w:r>
            <w:r>
              <w:rPr>
                <w:noProof/>
                <w:webHidden/>
              </w:rPr>
              <w:t>34</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53" w:history="1">
            <w:r w:rsidRPr="00CD41D4">
              <w:rPr>
                <w:rStyle w:val="Lienhypertexte"/>
                <w:b/>
                <w:bCs/>
                <w:i/>
                <w:iCs/>
                <w:noProof/>
              </w:rPr>
              <w:t>II.19.2. La couverture géographique et la clientèle des EMF</w:t>
            </w:r>
            <w:r>
              <w:rPr>
                <w:noProof/>
                <w:webHidden/>
              </w:rPr>
              <w:tab/>
            </w:r>
            <w:r>
              <w:rPr>
                <w:noProof/>
                <w:webHidden/>
              </w:rPr>
              <w:fldChar w:fldCharType="begin"/>
            </w:r>
            <w:r>
              <w:rPr>
                <w:noProof/>
                <w:webHidden/>
              </w:rPr>
              <w:instrText xml:space="preserve"> PAGEREF _Toc462990853 \h </w:instrText>
            </w:r>
            <w:r>
              <w:rPr>
                <w:noProof/>
                <w:webHidden/>
              </w:rPr>
            </w:r>
            <w:r>
              <w:rPr>
                <w:noProof/>
                <w:webHidden/>
              </w:rPr>
              <w:fldChar w:fldCharType="separate"/>
            </w:r>
            <w:r>
              <w:rPr>
                <w:noProof/>
                <w:webHidden/>
              </w:rPr>
              <w:t>34</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54" w:history="1">
            <w:r w:rsidRPr="00CD41D4">
              <w:rPr>
                <w:rStyle w:val="Lienhypertexte"/>
                <w:b/>
                <w:bCs/>
                <w:i/>
                <w:iCs/>
                <w:noProof/>
              </w:rPr>
              <w:t>II.19.3. Les capitaux propres et intermédiation financière</w:t>
            </w:r>
            <w:r>
              <w:rPr>
                <w:noProof/>
                <w:webHidden/>
              </w:rPr>
              <w:tab/>
            </w:r>
            <w:r>
              <w:rPr>
                <w:noProof/>
                <w:webHidden/>
              </w:rPr>
              <w:fldChar w:fldCharType="begin"/>
            </w:r>
            <w:r>
              <w:rPr>
                <w:noProof/>
                <w:webHidden/>
              </w:rPr>
              <w:instrText xml:space="preserve"> PAGEREF _Toc462990854 \h </w:instrText>
            </w:r>
            <w:r>
              <w:rPr>
                <w:noProof/>
                <w:webHidden/>
              </w:rPr>
            </w:r>
            <w:r>
              <w:rPr>
                <w:noProof/>
                <w:webHidden/>
              </w:rPr>
              <w:fldChar w:fldCharType="separate"/>
            </w:r>
            <w:r>
              <w:rPr>
                <w:noProof/>
                <w:webHidden/>
              </w:rPr>
              <w:t>36</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55" w:history="1">
            <w:r w:rsidRPr="00CD41D4">
              <w:rPr>
                <w:rStyle w:val="Lienhypertexte"/>
                <w:b/>
                <w:bCs/>
                <w:noProof/>
              </w:rPr>
              <w:t>II.20 LE SECTEUR ASSURANCE</w:t>
            </w:r>
            <w:r>
              <w:rPr>
                <w:noProof/>
                <w:webHidden/>
              </w:rPr>
              <w:tab/>
            </w:r>
            <w:r>
              <w:rPr>
                <w:noProof/>
                <w:webHidden/>
              </w:rPr>
              <w:fldChar w:fldCharType="begin"/>
            </w:r>
            <w:r>
              <w:rPr>
                <w:noProof/>
                <w:webHidden/>
              </w:rPr>
              <w:instrText xml:space="preserve"> PAGEREF _Toc462990855 \h </w:instrText>
            </w:r>
            <w:r>
              <w:rPr>
                <w:noProof/>
                <w:webHidden/>
              </w:rPr>
            </w:r>
            <w:r>
              <w:rPr>
                <w:noProof/>
                <w:webHidden/>
              </w:rPr>
              <w:fldChar w:fldCharType="separate"/>
            </w:r>
            <w:r>
              <w:rPr>
                <w:noProof/>
                <w:webHidden/>
              </w:rPr>
              <w:t>37</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56" w:history="1">
            <w:r w:rsidRPr="00CD41D4">
              <w:rPr>
                <w:rStyle w:val="Lienhypertexte"/>
                <w:b/>
                <w:bCs/>
                <w:i/>
                <w:iCs/>
                <w:noProof/>
              </w:rPr>
              <w:t>II.20.1. La Branche Non Vie</w:t>
            </w:r>
            <w:r>
              <w:rPr>
                <w:noProof/>
                <w:webHidden/>
              </w:rPr>
              <w:tab/>
            </w:r>
            <w:r>
              <w:rPr>
                <w:noProof/>
                <w:webHidden/>
              </w:rPr>
              <w:fldChar w:fldCharType="begin"/>
            </w:r>
            <w:r>
              <w:rPr>
                <w:noProof/>
                <w:webHidden/>
              </w:rPr>
              <w:instrText xml:space="preserve"> PAGEREF _Toc462990856 \h </w:instrText>
            </w:r>
            <w:r>
              <w:rPr>
                <w:noProof/>
                <w:webHidden/>
              </w:rPr>
            </w:r>
            <w:r>
              <w:rPr>
                <w:noProof/>
                <w:webHidden/>
              </w:rPr>
              <w:fldChar w:fldCharType="separate"/>
            </w:r>
            <w:r>
              <w:rPr>
                <w:noProof/>
                <w:webHidden/>
              </w:rPr>
              <w:t>37</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57" w:history="1">
            <w:r w:rsidRPr="00CD41D4">
              <w:rPr>
                <w:rStyle w:val="Lienhypertexte"/>
                <w:b/>
                <w:bCs/>
                <w:i/>
                <w:iCs/>
                <w:noProof/>
              </w:rPr>
              <w:t>II.19.2. La Branche Vie et Capitalisation</w:t>
            </w:r>
            <w:r>
              <w:rPr>
                <w:noProof/>
                <w:webHidden/>
              </w:rPr>
              <w:tab/>
            </w:r>
            <w:r>
              <w:rPr>
                <w:noProof/>
                <w:webHidden/>
              </w:rPr>
              <w:fldChar w:fldCharType="begin"/>
            </w:r>
            <w:r>
              <w:rPr>
                <w:noProof/>
                <w:webHidden/>
              </w:rPr>
              <w:instrText xml:space="preserve"> PAGEREF _Toc462990857 \h </w:instrText>
            </w:r>
            <w:r>
              <w:rPr>
                <w:noProof/>
                <w:webHidden/>
              </w:rPr>
            </w:r>
            <w:r>
              <w:rPr>
                <w:noProof/>
                <w:webHidden/>
              </w:rPr>
              <w:fldChar w:fldCharType="separate"/>
            </w:r>
            <w:r>
              <w:rPr>
                <w:noProof/>
                <w:webHidden/>
              </w:rPr>
              <w:t>38</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58" w:history="1">
            <w:r w:rsidRPr="00CD41D4">
              <w:rPr>
                <w:rStyle w:val="Lienhypertexte"/>
                <w:b/>
                <w:bCs/>
                <w:noProof/>
              </w:rPr>
              <w:t>II.21 LA SITUATION DES ETABLISSEMENTS FINANCIERS</w:t>
            </w:r>
            <w:r>
              <w:rPr>
                <w:noProof/>
                <w:webHidden/>
              </w:rPr>
              <w:tab/>
            </w:r>
            <w:r>
              <w:rPr>
                <w:noProof/>
                <w:webHidden/>
              </w:rPr>
              <w:fldChar w:fldCharType="begin"/>
            </w:r>
            <w:r>
              <w:rPr>
                <w:noProof/>
                <w:webHidden/>
              </w:rPr>
              <w:instrText xml:space="preserve"> PAGEREF _Toc462990858 \h </w:instrText>
            </w:r>
            <w:r>
              <w:rPr>
                <w:noProof/>
                <w:webHidden/>
              </w:rPr>
            </w:r>
            <w:r>
              <w:rPr>
                <w:noProof/>
                <w:webHidden/>
              </w:rPr>
              <w:fldChar w:fldCharType="separate"/>
            </w:r>
            <w:r>
              <w:rPr>
                <w:noProof/>
                <w:webHidden/>
              </w:rPr>
              <w:t>39</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59" w:history="1">
            <w:r w:rsidRPr="00CD41D4">
              <w:rPr>
                <w:rStyle w:val="Lienhypertexte"/>
                <w:b/>
                <w:bCs/>
                <w:i/>
                <w:iCs/>
                <w:noProof/>
              </w:rPr>
              <w:t>II.21.1 Les ressources</w:t>
            </w:r>
            <w:r>
              <w:rPr>
                <w:noProof/>
                <w:webHidden/>
              </w:rPr>
              <w:tab/>
            </w:r>
            <w:r>
              <w:rPr>
                <w:noProof/>
                <w:webHidden/>
              </w:rPr>
              <w:fldChar w:fldCharType="begin"/>
            </w:r>
            <w:r>
              <w:rPr>
                <w:noProof/>
                <w:webHidden/>
              </w:rPr>
              <w:instrText xml:space="preserve"> PAGEREF _Toc462990859 \h </w:instrText>
            </w:r>
            <w:r>
              <w:rPr>
                <w:noProof/>
                <w:webHidden/>
              </w:rPr>
            </w:r>
            <w:r>
              <w:rPr>
                <w:noProof/>
                <w:webHidden/>
              </w:rPr>
              <w:fldChar w:fldCharType="separate"/>
            </w:r>
            <w:r>
              <w:rPr>
                <w:noProof/>
                <w:webHidden/>
              </w:rPr>
              <w:t>39</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60" w:history="1">
            <w:r w:rsidRPr="00CD41D4">
              <w:rPr>
                <w:rStyle w:val="Lienhypertexte"/>
                <w:b/>
                <w:bCs/>
                <w:i/>
                <w:iCs/>
                <w:noProof/>
              </w:rPr>
              <w:t>II.21.2. Les emplois</w:t>
            </w:r>
            <w:r>
              <w:rPr>
                <w:noProof/>
                <w:webHidden/>
              </w:rPr>
              <w:tab/>
            </w:r>
            <w:r>
              <w:rPr>
                <w:noProof/>
                <w:webHidden/>
              </w:rPr>
              <w:fldChar w:fldCharType="begin"/>
            </w:r>
            <w:r>
              <w:rPr>
                <w:noProof/>
                <w:webHidden/>
              </w:rPr>
              <w:instrText xml:space="preserve"> PAGEREF _Toc462990860 \h </w:instrText>
            </w:r>
            <w:r>
              <w:rPr>
                <w:noProof/>
                <w:webHidden/>
              </w:rPr>
            </w:r>
            <w:r>
              <w:rPr>
                <w:noProof/>
                <w:webHidden/>
              </w:rPr>
              <w:fldChar w:fldCharType="separate"/>
            </w:r>
            <w:r>
              <w:rPr>
                <w:noProof/>
                <w:webHidden/>
              </w:rPr>
              <w:t>39</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61" w:history="1">
            <w:r w:rsidRPr="00CD41D4">
              <w:rPr>
                <w:rStyle w:val="Lienhypertexte"/>
                <w:b/>
                <w:bCs/>
                <w:i/>
                <w:iCs/>
                <w:noProof/>
              </w:rPr>
              <w:t>II.21.2.1 Investissements et créances impayées</w:t>
            </w:r>
            <w:r>
              <w:rPr>
                <w:noProof/>
                <w:webHidden/>
              </w:rPr>
              <w:tab/>
            </w:r>
            <w:r>
              <w:rPr>
                <w:noProof/>
                <w:webHidden/>
              </w:rPr>
              <w:fldChar w:fldCharType="begin"/>
            </w:r>
            <w:r>
              <w:rPr>
                <w:noProof/>
                <w:webHidden/>
              </w:rPr>
              <w:instrText xml:space="preserve"> PAGEREF _Toc462990861 \h </w:instrText>
            </w:r>
            <w:r>
              <w:rPr>
                <w:noProof/>
                <w:webHidden/>
              </w:rPr>
            </w:r>
            <w:r>
              <w:rPr>
                <w:noProof/>
                <w:webHidden/>
              </w:rPr>
              <w:fldChar w:fldCharType="separate"/>
            </w:r>
            <w:r>
              <w:rPr>
                <w:noProof/>
                <w:webHidden/>
              </w:rPr>
              <w:t>40</w:t>
            </w:r>
            <w:r>
              <w:rPr>
                <w:noProof/>
                <w:webHidden/>
              </w:rPr>
              <w:fldChar w:fldCharType="end"/>
            </w:r>
          </w:hyperlink>
        </w:p>
        <w:p w:rsidR="008F715D" w:rsidRDefault="008F715D" w:rsidP="008F715D">
          <w:pPr>
            <w:pStyle w:val="TM1"/>
            <w:rPr>
              <w:rFonts w:asciiTheme="minorHAnsi" w:eastAsiaTheme="minorEastAsia" w:hAnsiTheme="minorHAnsi" w:cstheme="minorBidi"/>
              <w:b w:val="0"/>
              <w:sz w:val="22"/>
              <w:szCs w:val="22"/>
            </w:rPr>
          </w:pPr>
          <w:hyperlink w:anchor="_Toc462990862" w:history="1">
            <w:r w:rsidRPr="00CD41D4">
              <w:rPr>
                <w:rStyle w:val="Lienhypertexte"/>
              </w:rPr>
              <w:t>TROISIEME PARTIE : LES GRANDEURS MACROECONOMIQUES AU PREMIER TRIMESTRE 2016</w:t>
            </w:r>
            <w:r>
              <w:rPr>
                <w:webHidden/>
              </w:rPr>
              <w:tab/>
            </w:r>
            <w:r>
              <w:rPr>
                <w:webHidden/>
              </w:rPr>
              <w:fldChar w:fldCharType="begin"/>
            </w:r>
            <w:r>
              <w:rPr>
                <w:webHidden/>
              </w:rPr>
              <w:instrText xml:space="preserve"> PAGEREF _Toc462990862 \h </w:instrText>
            </w:r>
            <w:r>
              <w:rPr>
                <w:webHidden/>
              </w:rPr>
            </w:r>
            <w:r>
              <w:rPr>
                <w:webHidden/>
              </w:rPr>
              <w:fldChar w:fldCharType="separate"/>
            </w:r>
            <w:r>
              <w:rPr>
                <w:webHidden/>
              </w:rPr>
              <w:t>41</w:t>
            </w:r>
            <w:r>
              <w:rPr>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63" w:history="1">
            <w:r w:rsidRPr="00CD41D4">
              <w:rPr>
                <w:rStyle w:val="Lienhypertexte"/>
                <w:b/>
                <w:bCs/>
                <w:noProof/>
              </w:rPr>
              <w:t>III.1. LES PRIX A LA CONSOMMATION</w:t>
            </w:r>
            <w:r>
              <w:rPr>
                <w:noProof/>
                <w:webHidden/>
              </w:rPr>
              <w:tab/>
            </w:r>
            <w:r>
              <w:rPr>
                <w:noProof/>
                <w:webHidden/>
              </w:rPr>
              <w:fldChar w:fldCharType="begin"/>
            </w:r>
            <w:r>
              <w:rPr>
                <w:noProof/>
                <w:webHidden/>
              </w:rPr>
              <w:instrText xml:space="preserve"> PAGEREF _Toc462990863 \h </w:instrText>
            </w:r>
            <w:r>
              <w:rPr>
                <w:noProof/>
                <w:webHidden/>
              </w:rPr>
            </w:r>
            <w:r>
              <w:rPr>
                <w:noProof/>
                <w:webHidden/>
              </w:rPr>
              <w:fldChar w:fldCharType="separate"/>
            </w:r>
            <w:r>
              <w:rPr>
                <w:noProof/>
                <w:webHidden/>
              </w:rPr>
              <w:t>41</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64" w:history="1">
            <w:r w:rsidRPr="00CD41D4">
              <w:rPr>
                <w:rStyle w:val="Lienhypertexte"/>
                <w:b/>
                <w:bCs/>
                <w:noProof/>
              </w:rPr>
              <w:t>III.2 L’EMPLOI ET LES SALAIRES</w:t>
            </w:r>
            <w:r>
              <w:rPr>
                <w:noProof/>
                <w:webHidden/>
              </w:rPr>
              <w:tab/>
            </w:r>
            <w:r>
              <w:rPr>
                <w:noProof/>
                <w:webHidden/>
              </w:rPr>
              <w:fldChar w:fldCharType="begin"/>
            </w:r>
            <w:r>
              <w:rPr>
                <w:noProof/>
                <w:webHidden/>
              </w:rPr>
              <w:instrText xml:space="preserve"> PAGEREF _Toc462990864 \h </w:instrText>
            </w:r>
            <w:r>
              <w:rPr>
                <w:noProof/>
                <w:webHidden/>
              </w:rPr>
            </w:r>
            <w:r>
              <w:rPr>
                <w:noProof/>
                <w:webHidden/>
              </w:rPr>
              <w:fldChar w:fldCharType="separate"/>
            </w:r>
            <w:r>
              <w:rPr>
                <w:noProof/>
                <w:webHidden/>
              </w:rPr>
              <w:t>42</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65" w:history="1">
            <w:r w:rsidRPr="00CD41D4">
              <w:rPr>
                <w:rStyle w:val="Lienhypertexte"/>
                <w:b/>
                <w:bCs/>
                <w:i/>
                <w:iCs/>
                <w:noProof/>
              </w:rPr>
              <w:t>III.2.1. L’emploi dans le secteur public</w:t>
            </w:r>
            <w:r>
              <w:rPr>
                <w:noProof/>
                <w:webHidden/>
              </w:rPr>
              <w:tab/>
            </w:r>
            <w:r>
              <w:rPr>
                <w:noProof/>
                <w:webHidden/>
              </w:rPr>
              <w:fldChar w:fldCharType="begin"/>
            </w:r>
            <w:r>
              <w:rPr>
                <w:noProof/>
                <w:webHidden/>
              </w:rPr>
              <w:instrText xml:space="preserve"> PAGEREF _Toc462990865 \h </w:instrText>
            </w:r>
            <w:r>
              <w:rPr>
                <w:noProof/>
                <w:webHidden/>
              </w:rPr>
            </w:r>
            <w:r>
              <w:rPr>
                <w:noProof/>
                <w:webHidden/>
              </w:rPr>
              <w:fldChar w:fldCharType="separate"/>
            </w:r>
            <w:r>
              <w:rPr>
                <w:noProof/>
                <w:webHidden/>
              </w:rPr>
              <w:t>42</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66" w:history="1">
            <w:r w:rsidRPr="00CD41D4">
              <w:rPr>
                <w:rStyle w:val="Lienhypertexte"/>
                <w:b/>
                <w:bCs/>
                <w:i/>
                <w:iCs/>
                <w:noProof/>
              </w:rPr>
              <w:t>III.2.2 La variation des effectifs par département</w:t>
            </w:r>
            <w:r>
              <w:rPr>
                <w:noProof/>
                <w:webHidden/>
              </w:rPr>
              <w:tab/>
            </w:r>
            <w:r>
              <w:rPr>
                <w:noProof/>
                <w:webHidden/>
              </w:rPr>
              <w:fldChar w:fldCharType="begin"/>
            </w:r>
            <w:r>
              <w:rPr>
                <w:noProof/>
                <w:webHidden/>
              </w:rPr>
              <w:instrText xml:space="preserve"> PAGEREF _Toc462990866 \h </w:instrText>
            </w:r>
            <w:r>
              <w:rPr>
                <w:noProof/>
                <w:webHidden/>
              </w:rPr>
            </w:r>
            <w:r>
              <w:rPr>
                <w:noProof/>
                <w:webHidden/>
              </w:rPr>
              <w:fldChar w:fldCharType="separate"/>
            </w:r>
            <w:r>
              <w:rPr>
                <w:noProof/>
                <w:webHidden/>
              </w:rPr>
              <w:t>42</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67" w:history="1">
            <w:r w:rsidRPr="00CD41D4">
              <w:rPr>
                <w:rStyle w:val="Lienhypertexte"/>
                <w:b/>
                <w:bCs/>
                <w:i/>
                <w:iCs/>
                <w:noProof/>
              </w:rPr>
              <w:t>III.2.2 Les salaires</w:t>
            </w:r>
            <w:r>
              <w:rPr>
                <w:noProof/>
                <w:webHidden/>
              </w:rPr>
              <w:tab/>
            </w:r>
            <w:r>
              <w:rPr>
                <w:noProof/>
                <w:webHidden/>
              </w:rPr>
              <w:fldChar w:fldCharType="begin"/>
            </w:r>
            <w:r>
              <w:rPr>
                <w:noProof/>
                <w:webHidden/>
              </w:rPr>
              <w:instrText xml:space="preserve"> PAGEREF _Toc462990867 \h </w:instrText>
            </w:r>
            <w:r>
              <w:rPr>
                <w:noProof/>
                <w:webHidden/>
              </w:rPr>
            </w:r>
            <w:r>
              <w:rPr>
                <w:noProof/>
                <w:webHidden/>
              </w:rPr>
              <w:fldChar w:fldCharType="separate"/>
            </w:r>
            <w:r>
              <w:rPr>
                <w:noProof/>
                <w:webHidden/>
              </w:rPr>
              <w:t>43</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68" w:history="1">
            <w:r w:rsidRPr="00CD41D4">
              <w:rPr>
                <w:rStyle w:val="Lienhypertexte"/>
                <w:b/>
                <w:bCs/>
                <w:noProof/>
              </w:rPr>
              <w:t>III.3 LE COMMERCE EXTERIEUR</w:t>
            </w:r>
            <w:r>
              <w:rPr>
                <w:noProof/>
                <w:webHidden/>
              </w:rPr>
              <w:tab/>
            </w:r>
            <w:r>
              <w:rPr>
                <w:noProof/>
                <w:webHidden/>
              </w:rPr>
              <w:fldChar w:fldCharType="begin"/>
            </w:r>
            <w:r>
              <w:rPr>
                <w:noProof/>
                <w:webHidden/>
              </w:rPr>
              <w:instrText xml:space="preserve"> PAGEREF _Toc462990868 \h </w:instrText>
            </w:r>
            <w:r>
              <w:rPr>
                <w:noProof/>
                <w:webHidden/>
              </w:rPr>
            </w:r>
            <w:r>
              <w:rPr>
                <w:noProof/>
                <w:webHidden/>
              </w:rPr>
              <w:fldChar w:fldCharType="separate"/>
            </w:r>
            <w:r>
              <w:rPr>
                <w:noProof/>
                <w:webHidden/>
              </w:rPr>
              <w:t>44</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69" w:history="1">
            <w:r w:rsidRPr="00CD41D4">
              <w:rPr>
                <w:rStyle w:val="Lienhypertexte"/>
                <w:b/>
                <w:bCs/>
                <w:i/>
                <w:iCs/>
                <w:noProof/>
              </w:rPr>
              <w:t>III.3.1 L’évolution des exportations en valeur</w:t>
            </w:r>
            <w:r>
              <w:rPr>
                <w:noProof/>
                <w:webHidden/>
              </w:rPr>
              <w:tab/>
            </w:r>
            <w:r>
              <w:rPr>
                <w:noProof/>
                <w:webHidden/>
              </w:rPr>
              <w:fldChar w:fldCharType="begin"/>
            </w:r>
            <w:r>
              <w:rPr>
                <w:noProof/>
                <w:webHidden/>
              </w:rPr>
              <w:instrText xml:space="preserve"> PAGEREF _Toc462990869 \h </w:instrText>
            </w:r>
            <w:r>
              <w:rPr>
                <w:noProof/>
                <w:webHidden/>
              </w:rPr>
            </w:r>
            <w:r>
              <w:rPr>
                <w:noProof/>
                <w:webHidden/>
              </w:rPr>
              <w:fldChar w:fldCharType="separate"/>
            </w:r>
            <w:r>
              <w:rPr>
                <w:noProof/>
                <w:webHidden/>
              </w:rPr>
              <w:t>44</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70" w:history="1">
            <w:r w:rsidRPr="00CD41D4">
              <w:rPr>
                <w:rStyle w:val="Lienhypertexte"/>
                <w:b/>
                <w:bCs/>
                <w:i/>
                <w:iCs/>
                <w:noProof/>
              </w:rPr>
              <w:t>III.3.2 L’évolution des importations en valeur</w:t>
            </w:r>
            <w:r>
              <w:rPr>
                <w:noProof/>
                <w:webHidden/>
              </w:rPr>
              <w:tab/>
            </w:r>
            <w:r>
              <w:rPr>
                <w:noProof/>
                <w:webHidden/>
              </w:rPr>
              <w:fldChar w:fldCharType="begin"/>
            </w:r>
            <w:r>
              <w:rPr>
                <w:noProof/>
                <w:webHidden/>
              </w:rPr>
              <w:instrText xml:space="preserve"> PAGEREF _Toc462990870 \h </w:instrText>
            </w:r>
            <w:r>
              <w:rPr>
                <w:noProof/>
                <w:webHidden/>
              </w:rPr>
            </w:r>
            <w:r>
              <w:rPr>
                <w:noProof/>
                <w:webHidden/>
              </w:rPr>
              <w:fldChar w:fldCharType="separate"/>
            </w:r>
            <w:r>
              <w:rPr>
                <w:noProof/>
                <w:webHidden/>
              </w:rPr>
              <w:t>45</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71" w:history="1">
            <w:r w:rsidRPr="00CD41D4">
              <w:rPr>
                <w:rStyle w:val="Lienhypertexte"/>
                <w:b/>
                <w:bCs/>
                <w:noProof/>
              </w:rPr>
              <w:t>III.4 LA DETTE PUBLIQUE</w:t>
            </w:r>
            <w:r>
              <w:rPr>
                <w:noProof/>
                <w:webHidden/>
              </w:rPr>
              <w:tab/>
            </w:r>
            <w:r>
              <w:rPr>
                <w:noProof/>
                <w:webHidden/>
              </w:rPr>
              <w:fldChar w:fldCharType="begin"/>
            </w:r>
            <w:r>
              <w:rPr>
                <w:noProof/>
                <w:webHidden/>
              </w:rPr>
              <w:instrText xml:space="preserve"> PAGEREF _Toc462990871 \h </w:instrText>
            </w:r>
            <w:r>
              <w:rPr>
                <w:noProof/>
                <w:webHidden/>
              </w:rPr>
            </w:r>
            <w:r>
              <w:rPr>
                <w:noProof/>
                <w:webHidden/>
              </w:rPr>
              <w:fldChar w:fldCharType="separate"/>
            </w:r>
            <w:r>
              <w:rPr>
                <w:noProof/>
                <w:webHidden/>
              </w:rPr>
              <w:t>46</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72" w:history="1">
            <w:r w:rsidRPr="00CD41D4">
              <w:rPr>
                <w:rStyle w:val="Lienhypertexte"/>
                <w:b/>
                <w:bCs/>
                <w:i/>
                <w:iCs/>
                <w:noProof/>
              </w:rPr>
              <w:t>III.4.1. L’évolution du règlement</w:t>
            </w:r>
            <w:r>
              <w:rPr>
                <w:noProof/>
                <w:webHidden/>
              </w:rPr>
              <w:tab/>
            </w:r>
            <w:r>
              <w:rPr>
                <w:noProof/>
                <w:webHidden/>
              </w:rPr>
              <w:fldChar w:fldCharType="begin"/>
            </w:r>
            <w:r>
              <w:rPr>
                <w:noProof/>
                <w:webHidden/>
              </w:rPr>
              <w:instrText xml:space="preserve"> PAGEREF _Toc462990872 \h </w:instrText>
            </w:r>
            <w:r>
              <w:rPr>
                <w:noProof/>
                <w:webHidden/>
              </w:rPr>
            </w:r>
            <w:r>
              <w:rPr>
                <w:noProof/>
                <w:webHidden/>
              </w:rPr>
              <w:fldChar w:fldCharType="separate"/>
            </w:r>
            <w:r>
              <w:rPr>
                <w:noProof/>
                <w:webHidden/>
              </w:rPr>
              <w:t>46</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73" w:history="1">
            <w:r w:rsidRPr="00CD41D4">
              <w:rPr>
                <w:rStyle w:val="Lienhypertexte"/>
                <w:b/>
                <w:bCs/>
                <w:i/>
                <w:iCs/>
                <w:noProof/>
              </w:rPr>
              <w:t>III.4.2. L’évolution des tirages sur financements</w:t>
            </w:r>
            <w:r>
              <w:rPr>
                <w:noProof/>
                <w:webHidden/>
              </w:rPr>
              <w:tab/>
            </w:r>
            <w:r>
              <w:rPr>
                <w:noProof/>
                <w:webHidden/>
              </w:rPr>
              <w:fldChar w:fldCharType="begin"/>
            </w:r>
            <w:r>
              <w:rPr>
                <w:noProof/>
                <w:webHidden/>
              </w:rPr>
              <w:instrText xml:space="preserve"> PAGEREF _Toc462990873 \h </w:instrText>
            </w:r>
            <w:r>
              <w:rPr>
                <w:noProof/>
                <w:webHidden/>
              </w:rPr>
            </w:r>
            <w:r>
              <w:rPr>
                <w:noProof/>
                <w:webHidden/>
              </w:rPr>
              <w:fldChar w:fldCharType="separate"/>
            </w:r>
            <w:r>
              <w:rPr>
                <w:noProof/>
                <w:webHidden/>
              </w:rPr>
              <w:t>47</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74" w:history="1">
            <w:r w:rsidRPr="00CD41D4">
              <w:rPr>
                <w:rStyle w:val="Lienhypertexte"/>
                <w:b/>
                <w:bCs/>
                <w:i/>
                <w:iCs/>
                <w:noProof/>
              </w:rPr>
              <w:t>III.4.3. L’évolution du stock de la dette</w:t>
            </w:r>
            <w:r>
              <w:rPr>
                <w:noProof/>
                <w:webHidden/>
              </w:rPr>
              <w:tab/>
            </w:r>
            <w:r>
              <w:rPr>
                <w:noProof/>
                <w:webHidden/>
              </w:rPr>
              <w:fldChar w:fldCharType="begin"/>
            </w:r>
            <w:r>
              <w:rPr>
                <w:noProof/>
                <w:webHidden/>
              </w:rPr>
              <w:instrText xml:space="preserve"> PAGEREF _Toc462990874 \h </w:instrText>
            </w:r>
            <w:r>
              <w:rPr>
                <w:noProof/>
                <w:webHidden/>
              </w:rPr>
            </w:r>
            <w:r>
              <w:rPr>
                <w:noProof/>
                <w:webHidden/>
              </w:rPr>
              <w:fldChar w:fldCharType="separate"/>
            </w:r>
            <w:r>
              <w:rPr>
                <w:noProof/>
                <w:webHidden/>
              </w:rPr>
              <w:t>48</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75" w:history="1">
            <w:r w:rsidRPr="00CD41D4">
              <w:rPr>
                <w:rStyle w:val="Lienhypertexte"/>
                <w:b/>
                <w:bCs/>
                <w:noProof/>
              </w:rPr>
              <w:t>III.5 LA SITUATION MONETAIRE</w:t>
            </w:r>
            <w:r>
              <w:rPr>
                <w:noProof/>
                <w:webHidden/>
              </w:rPr>
              <w:tab/>
            </w:r>
            <w:r>
              <w:rPr>
                <w:noProof/>
                <w:webHidden/>
              </w:rPr>
              <w:fldChar w:fldCharType="begin"/>
            </w:r>
            <w:r>
              <w:rPr>
                <w:noProof/>
                <w:webHidden/>
              </w:rPr>
              <w:instrText xml:space="preserve"> PAGEREF _Toc462990875 \h </w:instrText>
            </w:r>
            <w:r>
              <w:rPr>
                <w:noProof/>
                <w:webHidden/>
              </w:rPr>
            </w:r>
            <w:r>
              <w:rPr>
                <w:noProof/>
                <w:webHidden/>
              </w:rPr>
              <w:fldChar w:fldCharType="separate"/>
            </w:r>
            <w:r>
              <w:rPr>
                <w:noProof/>
                <w:webHidden/>
              </w:rPr>
              <w:t>49</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76" w:history="1">
            <w:r w:rsidRPr="00CD41D4">
              <w:rPr>
                <w:rStyle w:val="Lienhypertexte"/>
                <w:b/>
                <w:bCs/>
                <w:i/>
                <w:iCs/>
                <w:noProof/>
              </w:rPr>
              <w:t>III.5.1 les principaux agrégats monétaires</w:t>
            </w:r>
            <w:r>
              <w:rPr>
                <w:noProof/>
                <w:webHidden/>
              </w:rPr>
              <w:tab/>
            </w:r>
            <w:r>
              <w:rPr>
                <w:noProof/>
                <w:webHidden/>
              </w:rPr>
              <w:fldChar w:fldCharType="begin"/>
            </w:r>
            <w:r>
              <w:rPr>
                <w:noProof/>
                <w:webHidden/>
              </w:rPr>
              <w:instrText xml:space="preserve"> PAGEREF _Toc462990876 \h </w:instrText>
            </w:r>
            <w:r>
              <w:rPr>
                <w:noProof/>
                <w:webHidden/>
              </w:rPr>
            </w:r>
            <w:r>
              <w:rPr>
                <w:noProof/>
                <w:webHidden/>
              </w:rPr>
              <w:fldChar w:fldCharType="separate"/>
            </w:r>
            <w:r>
              <w:rPr>
                <w:noProof/>
                <w:webHidden/>
              </w:rPr>
              <w:t>49</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77" w:history="1">
            <w:r w:rsidRPr="00CD41D4">
              <w:rPr>
                <w:rStyle w:val="Lienhypertexte"/>
                <w:b/>
                <w:bCs/>
                <w:i/>
                <w:iCs/>
                <w:noProof/>
              </w:rPr>
              <w:t>III.5.1.1 La masse monétaire (M2)</w:t>
            </w:r>
            <w:r>
              <w:rPr>
                <w:noProof/>
                <w:webHidden/>
              </w:rPr>
              <w:tab/>
            </w:r>
            <w:r>
              <w:rPr>
                <w:noProof/>
                <w:webHidden/>
              </w:rPr>
              <w:fldChar w:fldCharType="begin"/>
            </w:r>
            <w:r>
              <w:rPr>
                <w:noProof/>
                <w:webHidden/>
              </w:rPr>
              <w:instrText xml:space="preserve"> PAGEREF _Toc462990877 \h </w:instrText>
            </w:r>
            <w:r>
              <w:rPr>
                <w:noProof/>
                <w:webHidden/>
              </w:rPr>
            </w:r>
            <w:r>
              <w:rPr>
                <w:noProof/>
                <w:webHidden/>
              </w:rPr>
              <w:fldChar w:fldCharType="separate"/>
            </w:r>
            <w:r>
              <w:rPr>
                <w:noProof/>
                <w:webHidden/>
              </w:rPr>
              <w:t>49</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78" w:history="1">
            <w:r w:rsidRPr="00CD41D4">
              <w:rPr>
                <w:rStyle w:val="Lienhypertexte"/>
                <w:b/>
                <w:bCs/>
                <w:i/>
                <w:iCs/>
                <w:noProof/>
              </w:rPr>
              <w:t>III.5.1.2 Les ressources extra-monétaires</w:t>
            </w:r>
            <w:r>
              <w:rPr>
                <w:noProof/>
                <w:webHidden/>
              </w:rPr>
              <w:tab/>
            </w:r>
            <w:r>
              <w:rPr>
                <w:noProof/>
                <w:webHidden/>
              </w:rPr>
              <w:fldChar w:fldCharType="begin"/>
            </w:r>
            <w:r>
              <w:rPr>
                <w:noProof/>
                <w:webHidden/>
              </w:rPr>
              <w:instrText xml:space="preserve"> PAGEREF _Toc462990878 \h </w:instrText>
            </w:r>
            <w:r>
              <w:rPr>
                <w:noProof/>
                <w:webHidden/>
              </w:rPr>
            </w:r>
            <w:r>
              <w:rPr>
                <w:noProof/>
                <w:webHidden/>
              </w:rPr>
              <w:fldChar w:fldCharType="separate"/>
            </w:r>
            <w:r>
              <w:rPr>
                <w:noProof/>
                <w:webHidden/>
              </w:rPr>
              <w:t>49</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79" w:history="1">
            <w:r w:rsidRPr="00CD41D4">
              <w:rPr>
                <w:rStyle w:val="Lienhypertexte"/>
                <w:b/>
                <w:bCs/>
                <w:i/>
                <w:iCs/>
                <w:noProof/>
              </w:rPr>
              <w:t>III.5.2 Les contreparties de la masse monétaire</w:t>
            </w:r>
            <w:r>
              <w:rPr>
                <w:noProof/>
                <w:webHidden/>
              </w:rPr>
              <w:tab/>
            </w:r>
            <w:r>
              <w:rPr>
                <w:noProof/>
                <w:webHidden/>
              </w:rPr>
              <w:fldChar w:fldCharType="begin"/>
            </w:r>
            <w:r>
              <w:rPr>
                <w:noProof/>
                <w:webHidden/>
              </w:rPr>
              <w:instrText xml:space="preserve"> PAGEREF _Toc462990879 \h </w:instrText>
            </w:r>
            <w:r>
              <w:rPr>
                <w:noProof/>
                <w:webHidden/>
              </w:rPr>
            </w:r>
            <w:r>
              <w:rPr>
                <w:noProof/>
                <w:webHidden/>
              </w:rPr>
              <w:fldChar w:fldCharType="separate"/>
            </w:r>
            <w:r>
              <w:rPr>
                <w:noProof/>
                <w:webHidden/>
              </w:rPr>
              <w:t>49</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80" w:history="1">
            <w:r w:rsidRPr="00CD41D4">
              <w:rPr>
                <w:rStyle w:val="Lienhypertexte"/>
                <w:b/>
                <w:bCs/>
                <w:i/>
                <w:iCs/>
                <w:noProof/>
              </w:rPr>
              <w:t>III.5.2.1 Les Avoirs Extérieurs Nets (A.E.N)</w:t>
            </w:r>
            <w:r>
              <w:rPr>
                <w:noProof/>
                <w:webHidden/>
              </w:rPr>
              <w:tab/>
            </w:r>
            <w:r>
              <w:rPr>
                <w:noProof/>
                <w:webHidden/>
              </w:rPr>
              <w:fldChar w:fldCharType="begin"/>
            </w:r>
            <w:r>
              <w:rPr>
                <w:noProof/>
                <w:webHidden/>
              </w:rPr>
              <w:instrText xml:space="preserve"> PAGEREF _Toc462990880 \h </w:instrText>
            </w:r>
            <w:r>
              <w:rPr>
                <w:noProof/>
                <w:webHidden/>
              </w:rPr>
            </w:r>
            <w:r>
              <w:rPr>
                <w:noProof/>
                <w:webHidden/>
              </w:rPr>
              <w:fldChar w:fldCharType="separate"/>
            </w:r>
            <w:r>
              <w:rPr>
                <w:noProof/>
                <w:webHidden/>
              </w:rPr>
              <w:t>49</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81" w:history="1">
            <w:r w:rsidRPr="00CD41D4">
              <w:rPr>
                <w:rStyle w:val="Lienhypertexte"/>
                <w:b/>
                <w:bCs/>
                <w:i/>
                <w:iCs/>
                <w:noProof/>
              </w:rPr>
              <w:t>III.5.2.2 Le crédit intérieur</w:t>
            </w:r>
            <w:r>
              <w:rPr>
                <w:noProof/>
                <w:webHidden/>
              </w:rPr>
              <w:tab/>
            </w:r>
            <w:r>
              <w:rPr>
                <w:noProof/>
                <w:webHidden/>
              </w:rPr>
              <w:fldChar w:fldCharType="begin"/>
            </w:r>
            <w:r>
              <w:rPr>
                <w:noProof/>
                <w:webHidden/>
              </w:rPr>
              <w:instrText xml:space="preserve"> PAGEREF _Toc462990881 \h </w:instrText>
            </w:r>
            <w:r>
              <w:rPr>
                <w:noProof/>
                <w:webHidden/>
              </w:rPr>
            </w:r>
            <w:r>
              <w:rPr>
                <w:noProof/>
                <w:webHidden/>
              </w:rPr>
              <w:fldChar w:fldCharType="separate"/>
            </w:r>
            <w:r>
              <w:rPr>
                <w:noProof/>
                <w:webHidden/>
              </w:rPr>
              <w:t>50</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82" w:history="1">
            <w:r w:rsidRPr="00CD41D4">
              <w:rPr>
                <w:rStyle w:val="Lienhypertexte"/>
                <w:b/>
                <w:bCs/>
                <w:i/>
                <w:iCs/>
                <w:noProof/>
              </w:rPr>
              <w:t>III.5.2.2.1 Les créances sur l’économie</w:t>
            </w:r>
            <w:r>
              <w:rPr>
                <w:noProof/>
                <w:webHidden/>
              </w:rPr>
              <w:tab/>
            </w:r>
            <w:r>
              <w:rPr>
                <w:noProof/>
                <w:webHidden/>
              </w:rPr>
              <w:fldChar w:fldCharType="begin"/>
            </w:r>
            <w:r>
              <w:rPr>
                <w:noProof/>
                <w:webHidden/>
              </w:rPr>
              <w:instrText xml:space="preserve"> PAGEREF _Toc462990882 \h </w:instrText>
            </w:r>
            <w:r>
              <w:rPr>
                <w:noProof/>
                <w:webHidden/>
              </w:rPr>
            </w:r>
            <w:r>
              <w:rPr>
                <w:noProof/>
                <w:webHidden/>
              </w:rPr>
              <w:fldChar w:fldCharType="separate"/>
            </w:r>
            <w:r>
              <w:rPr>
                <w:noProof/>
                <w:webHidden/>
              </w:rPr>
              <w:t>50</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83" w:history="1">
            <w:r w:rsidRPr="00CD41D4">
              <w:rPr>
                <w:rStyle w:val="Lienhypertexte"/>
                <w:b/>
                <w:bCs/>
                <w:i/>
                <w:iCs/>
                <w:noProof/>
              </w:rPr>
              <w:t>III.5.2.2.2 Les créances nettes sur l’Etat</w:t>
            </w:r>
            <w:r>
              <w:rPr>
                <w:noProof/>
                <w:webHidden/>
              </w:rPr>
              <w:tab/>
            </w:r>
            <w:r>
              <w:rPr>
                <w:noProof/>
                <w:webHidden/>
              </w:rPr>
              <w:fldChar w:fldCharType="begin"/>
            </w:r>
            <w:r>
              <w:rPr>
                <w:noProof/>
                <w:webHidden/>
              </w:rPr>
              <w:instrText xml:space="preserve"> PAGEREF _Toc462990883 \h </w:instrText>
            </w:r>
            <w:r>
              <w:rPr>
                <w:noProof/>
                <w:webHidden/>
              </w:rPr>
            </w:r>
            <w:r>
              <w:rPr>
                <w:noProof/>
                <w:webHidden/>
              </w:rPr>
              <w:fldChar w:fldCharType="separate"/>
            </w:r>
            <w:r>
              <w:rPr>
                <w:noProof/>
                <w:webHidden/>
              </w:rPr>
              <w:t>50</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84" w:history="1">
            <w:r w:rsidRPr="00CD41D4">
              <w:rPr>
                <w:rStyle w:val="Lienhypertexte"/>
                <w:b/>
                <w:bCs/>
                <w:i/>
                <w:iCs/>
                <w:noProof/>
              </w:rPr>
              <w:t>III.5.3 La politique monétaire</w:t>
            </w:r>
            <w:r>
              <w:rPr>
                <w:noProof/>
                <w:webHidden/>
              </w:rPr>
              <w:tab/>
            </w:r>
            <w:r>
              <w:rPr>
                <w:noProof/>
                <w:webHidden/>
              </w:rPr>
              <w:fldChar w:fldCharType="begin"/>
            </w:r>
            <w:r>
              <w:rPr>
                <w:noProof/>
                <w:webHidden/>
              </w:rPr>
              <w:instrText xml:space="preserve"> PAGEREF _Toc462990884 \h </w:instrText>
            </w:r>
            <w:r>
              <w:rPr>
                <w:noProof/>
                <w:webHidden/>
              </w:rPr>
            </w:r>
            <w:r>
              <w:rPr>
                <w:noProof/>
                <w:webHidden/>
              </w:rPr>
              <w:fldChar w:fldCharType="separate"/>
            </w:r>
            <w:r>
              <w:rPr>
                <w:noProof/>
                <w:webHidden/>
              </w:rPr>
              <w:t>50</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85" w:history="1">
            <w:r w:rsidRPr="00CD41D4">
              <w:rPr>
                <w:rStyle w:val="Lienhypertexte"/>
                <w:b/>
                <w:bCs/>
                <w:i/>
                <w:iCs/>
                <w:noProof/>
              </w:rPr>
              <w:t>III.5.3.1 L’action sur la liquidité bancaire</w:t>
            </w:r>
            <w:r>
              <w:rPr>
                <w:noProof/>
                <w:webHidden/>
              </w:rPr>
              <w:tab/>
            </w:r>
            <w:r>
              <w:rPr>
                <w:noProof/>
                <w:webHidden/>
              </w:rPr>
              <w:fldChar w:fldCharType="begin"/>
            </w:r>
            <w:r>
              <w:rPr>
                <w:noProof/>
                <w:webHidden/>
              </w:rPr>
              <w:instrText xml:space="preserve"> PAGEREF _Toc462990885 \h </w:instrText>
            </w:r>
            <w:r>
              <w:rPr>
                <w:noProof/>
                <w:webHidden/>
              </w:rPr>
            </w:r>
            <w:r>
              <w:rPr>
                <w:noProof/>
                <w:webHidden/>
              </w:rPr>
              <w:fldChar w:fldCharType="separate"/>
            </w:r>
            <w:r>
              <w:rPr>
                <w:noProof/>
                <w:webHidden/>
              </w:rPr>
              <w:t>51</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86" w:history="1">
            <w:r w:rsidRPr="00CD41D4">
              <w:rPr>
                <w:rStyle w:val="Lienhypertexte"/>
                <w:b/>
                <w:bCs/>
                <w:i/>
                <w:iCs/>
                <w:noProof/>
              </w:rPr>
              <w:t>III.5.3.2 La politique des taux d’intérêt</w:t>
            </w:r>
            <w:r>
              <w:rPr>
                <w:noProof/>
                <w:webHidden/>
              </w:rPr>
              <w:tab/>
            </w:r>
            <w:r>
              <w:rPr>
                <w:noProof/>
                <w:webHidden/>
              </w:rPr>
              <w:fldChar w:fldCharType="begin"/>
            </w:r>
            <w:r>
              <w:rPr>
                <w:noProof/>
                <w:webHidden/>
              </w:rPr>
              <w:instrText xml:space="preserve"> PAGEREF _Toc462990886 \h </w:instrText>
            </w:r>
            <w:r>
              <w:rPr>
                <w:noProof/>
                <w:webHidden/>
              </w:rPr>
            </w:r>
            <w:r>
              <w:rPr>
                <w:noProof/>
                <w:webHidden/>
              </w:rPr>
              <w:fldChar w:fldCharType="separate"/>
            </w:r>
            <w:r>
              <w:rPr>
                <w:noProof/>
                <w:webHidden/>
              </w:rPr>
              <w:t>51</w:t>
            </w:r>
            <w:r>
              <w:rPr>
                <w:noProof/>
                <w:webHidden/>
              </w:rPr>
              <w:fldChar w:fldCharType="end"/>
            </w:r>
          </w:hyperlink>
        </w:p>
        <w:p w:rsidR="008F715D" w:rsidRDefault="008F715D" w:rsidP="008F715D">
          <w:pPr>
            <w:pStyle w:val="TM2"/>
            <w:tabs>
              <w:tab w:val="right" w:leader="dot" w:pos="9062"/>
            </w:tabs>
            <w:rPr>
              <w:rFonts w:asciiTheme="minorHAnsi" w:eastAsiaTheme="minorEastAsia" w:hAnsiTheme="minorHAnsi" w:cstheme="minorBidi"/>
              <w:noProof/>
              <w:sz w:val="22"/>
              <w:szCs w:val="22"/>
            </w:rPr>
          </w:pPr>
          <w:hyperlink w:anchor="_Toc462990887" w:history="1">
            <w:r w:rsidRPr="00CD41D4">
              <w:rPr>
                <w:rStyle w:val="Lienhypertexte"/>
                <w:b/>
                <w:bCs/>
                <w:noProof/>
              </w:rPr>
              <w:t>III.6 LE BUDGET EXECUTE DE L’ETAT A FIN JUIN 2016</w:t>
            </w:r>
            <w:r>
              <w:rPr>
                <w:noProof/>
                <w:webHidden/>
              </w:rPr>
              <w:tab/>
            </w:r>
            <w:r>
              <w:rPr>
                <w:noProof/>
                <w:webHidden/>
              </w:rPr>
              <w:fldChar w:fldCharType="begin"/>
            </w:r>
            <w:r>
              <w:rPr>
                <w:noProof/>
                <w:webHidden/>
              </w:rPr>
              <w:instrText xml:space="preserve"> PAGEREF _Toc462990887 \h </w:instrText>
            </w:r>
            <w:r>
              <w:rPr>
                <w:noProof/>
                <w:webHidden/>
              </w:rPr>
            </w:r>
            <w:r>
              <w:rPr>
                <w:noProof/>
                <w:webHidden/>
              </w:rPr>
              <w:fldChar w:fldCharType="separate"/>
            </w:r>
            <w:r>
              <w:rPr>
                <w:noProof/>
                <w:webHidden/>
              </w:rPr>
              <w:t>51</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88" w:history="1">
            <w:r w:rsidRPr="00CD41D4">
              <w:rPr>
                <w:rStyle w:val="Lienhypertexte"/>
                <w:b/>
                <w:bCs/>
                <w:i/>
                <w:iCs/>
                <w:noProof/>
              </w:rPr>
              <w:t>III.6.1. L’exécution du budget</w:t>
            </w:r>
            <w:r>
              <w:rPr>
                <w:noProof/>
                <w:webHidden/>
              </w:rPr>
              <w:tab/>
            </w:r>
            <w:r>
              <w:rPr>
                <w:noProof/>
                <w:webHidden/>
              </w:rPr>
              <w:fldChar w:fldCharType="begin"/>
            </w:r>
            <w:r>
              <w:rPr>
                <w:noProof/>
                <w:webHidden/>
              </w:rPr>
              <w:instrText xml:space="preserve"> PAGEREF _Toc462990888 \h </w:instrText>
            </w:r>
            <w:r>
              <w:rPr>
                <w:noProof/>
                <w:webHidden/>
              </w:rPr>
            </w:r>
            <w:r>
              <w:rPr>
                <w:noProof/>
                <w:webHidden/>
              </w:rPr>
              <w:fldChar w:fldCharType="separate"/>
            </w:r>
            <w:r>
              <w:rPr>
                <w:noProof/>
                <w:webHidden/>
              </w:rPr>
              <w:t>51</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89" w:history="1">
            <w:r w:rsidRPr="00CD41D4">
              <w:rPr>
                <w:rStyle w:val="Lienhypertexte"/>
                <w:b/>
                <w:bCs/>
                <w:i/>
                <w:iCs/>
                <w:noProof/>
              </w:rPr>
              <w:t>III.6.2. L’exécution des recettes</w:t>
            </w:r>
            <w:r>
              <w:rPr>
                <w:noProof/>
                <w:webHidden/>
              </w:rPr>
              <w:tab/>
            </w:r>
            <w:r>
              <w:rPr>
                <w:noProof/>
                <w:webHidden/>
              </w:rPr>
              <w:fldChar w:fldCharType="begin"/>
            </w:r>
            <w:r>
              <w:rPr>
                <w:noProof/>
                <w:webHidden/>
              </w:rPr>
              <w:instrText xml:space="preserve"> PAGEREF _Toc462990889 \h </w:instrText>
            </w:r>
            <w:r>
              <w:rPr>
                <w:noProof/>
                <w:webHidden/>
              </w:rPr>
            </w:r>
            <w:r>
              <w:rPr>
                <w:noProof/>
                <w:webHidden/>
              </w:rPr>
              <w:fldChar w:fldCharType="separate"/>
            </w:r>
            <w:r>
              <w:rPr>
                <w:noProof/>
                <w:webHidden/>
              </w:rPr>
              <w:t>52</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90" w:history="1">
            <w:r w:rsidRPr="00CD41D4">
              <w:rPr>
                <w:rStyle w:val="Lienhypertexte"/>
                <w:b/>
                <w:bCs/>
                <w:i/>
                <w:iCs/>
                <w:noProof/>
              </w:rPr>
              <w:t>III.6.2.1 Les recettes pétrolières</w:t>
            </w:r>
            <w:r>
              <w:rPr>
                <w:noProof/>
                <w:webHidden/>
              </w:rPr>
              <w:tab/>
            </w:r>
            <w:r>
              <w:rPr>
                <w:noProof/>
                <w:webHidden/>
              </w:rPr>
              <w:fldChar w:fldCharType="begin"/>
            </w:r>
            <w:r>
              <w:rPr>
                <w:noProof/>
                <w:webHidden/>
              </w:rPr>
              <w:instrText xml:space="preserve"> PAGEREF _Toc462990890 \h </w:instrText>
            </w:r>
            <w:r>
              <w:rPr>
                <w:noProof/>
                <w:webHidden/>
              </w:rPr>
            </w:r>
            <w:r>
              <w:rPr>
                <w:noProof/>
                <w:webHidden/>
              </w:rPr>
              <w:fldChar w:fldCharType="separate"/>
            </w:r>
            <w:r>
              <w:rPr>
                <w:noProof/>
                <w:webHidden/>
              </w:rPr>
              <w:t>52</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91" w:history="1">
            <w:r w:rsidRPr="00CD41D4">
              <w:rPr>
                <w:rStyle w:val="Lienhypertexte"/>
                <w:b/>
                <w:bCs/>
                <w:i/>
                <w:iCs/>
                <w:noProof/>
              </w:rPr>
              <w:t>III.6.2.2 Les recettes hors pétrole</w:t>
            </w:r>
            <w:r>
              <w:rPr>
                <w:noProof/>
                <w:webHidden/>
              </w:rPr>
              <w:tab/>
            </w:r>
            <w:r>
              <w:rPr>
                <w:noProof/>
                <w:webHidden/>
              </w:rPr>
              <w:fldChar w:fldCharType="begin"/>
            </w:r>
            <w:r>
              <w:rPr>
                <w:noProof/>
                <w:webHidden/>
              </w:rPr>
              <w:instrText xml:space="preserve"> PAGEREF _Toc462990891 \h </w:instrText>
            </w:r>
            <w:r>
              <w:rPr>
                <w:noProof/>
                <w:webHidden/>
              </w:rPr>
            </w:r>
            <w:r>
              <w:rPr>
                <w:noProof/>
                <w:webHidden/>
              </w:rPr>
              <w:fldChar w:fldCharType="separate"/>
            </w:r>
            <w:r>
              <w:rPr>
                <w:noProof/>
                <w:webHidden/>
              </w:rPr>
              <w:t>53</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92" w:history="1">
            <w:r w:rsidRPr="00CD41D4">
              <w:rPr>
                <w:rStyle w:val="Lienhypertexte"/>
                <w:b/>
                <w:bCs/>
                <w:i/>
                <w:iCs/>
                <w:noProof/>
              </w:rPr>
              <w:t>III.6.3. Les dépenses budgétaires</w:t>
            </w:r>
            <w:r>
              <w:rPr>
                <w:noProof/>
                <w:webHidden/>
              </w:rPr>
              <w:tab/>
            </w:r>
            <w:r>
              <w:rPr>
                <w:noProof/>
                <w:webHidden/>
              </w:rPr>
              <w:fldChar w:fldCharType="begin"/>
            </w:r>
            <w:r>
              <w:rPr>
                <w:noProof/>
                <w:webHidden/>
              </w:rPr>
              <w:instrText xml:space="preserve"> PAGEREF _Toc462990892 \h </w:instrText>
            </w:r>
            <w:r>
              <w:rPr>
                <w:noProof/>
                <w:webHidden/>
              </w:rPr>
            </w:r>
            <w:r>
              <w:rPr>
                <w:noProof/>
                <w:webHidden/>
              </w:rPr>
              <w:fldChar w:fldCharType="separate"/>
            </w:r>
            <w:r>
              <w:rPr>
                <w:noProof/>
                <w:webHidden/>
              </w:rPr>
              <w:t>53</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93" w:history="1">
            <w:r w:rsidRPr="00CD41D4">
              <w:rPr>
                <w:rStyle w:val="Lienhypertexte"/>
                <w:b/>
                <w:bCs/>
                <w:i/>
                <w:iCs/>
                <w:noProof/>
              </w:rPr>
              <w:t>III.6.3.1 Les dépenses de fonctionnement</w:t>
            </w:r>
            <w:r>
              <w:rPr>
                <w:noProof/>
                <w:webHidden/>
              </w:rPr>
              <w:tab/>
            </w:r>
            <w:r>
              <w:rPr>
                <w:noProof/>
                <w:webHidden/>
              </w:rPr>
              <w:fldChar w:fldCharType="begin"/>
            </w:r>
            <w:r>
              <w:rPr>
                <w:noProof/>
                <w:webHidden/>
              </w:rPr>
              <w:instrText xml:space="preserve"> PAGEREF _Toc462990893 \h </w:instrText>
            </w:r>
            <w:r>
              <w:rPr>
                <w:noProof/>
                <w:webHidden/>
              </w:rPr>
            </w:r>
            <w:r>
              <w:rPr>
                <w:noProof/>
                <w:webHidden/>
              </w:rPr>
              <w:fldChar w:fldCharType="separate"/>
            </w:r>
            <w:r>
              <w:rPr>
                <w:noProof/>
                <w:webHidden/>
              </w:rPr>
              <w:t>53</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94" w:history="1">
            <w:r w:rsidRPr="00CD41D4">
              <w:rPr>
                <w:rStyle w:val="Lienhypertexte"/>
                <w:b/>
                <w:bCs/>
                <w:i/>
                <w:iCs/>
                <w:noProof/>
              </w:rPr>
              <w:t>III.6.3.2 Les dépenses d’investissement</w:t>
            </w:r>
            <w:r>
              <w:rPr>
                <w:noProof/>
                <w:webHidden/>
              </w:rPr>
              <w:tab/>
            </w:r>
            <w:r>
              <w:rPr>
                <w:noProof/>
                <w:webHidden/>
              </w:rPr>
              <w:fldChar w:fldCharType="begin"/>
            </w:r>
            <w:r>
              <w:rPr>
                <w:noProof/>
                <w:webHidden/>
              </w:rPr>
              <w:instrText xml:space="preserve"> PAGEREF _Toc462990894 \h </w:instrText>
            </w:r>
            <w:r>
              <w:rPr>
                <w:noProof/>
                <w:webHidden/>
              </w:rPr>
            </w:r>
            <w:r>
              <w:rPr>
                <w:noProof/>
                <w:webHidden/>
              </w:rPr>
              <w:fldChar w:fldCharType="separate"/>
            </w:r>
            <w:r>
              <w:rPr>
                <w:noProof/>
                <w:webHidden/>
              </w:rPr>
              <w:t>54</w:t>
            </w:r>
            <w:r>
              <w:rPr>
                <w:noProof/>
                <w:webHidden/>
              </w:rPr>
              <w:fldChar w:fldCharType="end"/>
            </w:r>
          </w:hyperlink>
        </w:p>
        <w:p w:rsidR="008F715D" w:rsidRDefault="008F715D" w:rsidP="008F715D">
          <w:pPr>
            <w:pStyle w:val="TM3"/>
            <w:tabs>
              <w:tab w:val="right" w:leader="dot" w:pos="9062"/>
            </w:tabs>
            <w:rPr>
              <w:rFonts w:asciiTheme="minorHAnsi" w:eastAsiaTheme="minorEastAsia" w:hAnsiTheme="minorHAnsi" w:cstheme="minorBidi"/>
              <w:noProof/>
              <w:sz w:val="22"/>
              <w:szCs w:val="22"/>
            </w:rPr>
          </w:pPr>
          <w:hyperlink w:anchor="_Toc462990895" w:history="1">
            <w:r w:rsidRPr="00CD41D4">
              <w:rPr>
                <w:rStyle w:val="Lienhypertexte"/>
                <w:b/>
                <w:bCs/>
                <w:i/>
                <w:iCs/>
                <w:noProof/>
              </w:rPr>
              <w:t>III.6.3.3 Les autres dépenses</w:t>
            </w:r>
            <w:r>
              <w:rPr>
                <w:noProof/>
                <w:webHidden/>
              </w:rPr>
              <w:tab/>
            </w:r>
            <w:r>
              <w:rPr>
                <w:noProof/>
                <w:webHidden/>
              </w:rPr>
              <w:fldChar w:fldCharType="begin"/>
            </w:r>
            <w:r>
              <w:rPr>
                <w:noProof/>
                <w:webHidden/>
              </w:rPr>
              <w:instrText xml:space="preserve"> PAGEREF _Toc462990895 \h </w:instrText>
            </w:r>
            <w:r>
              <w:rPr>
                <w:noProof/>
                <w:webHidden/>
              </w:rPr>
            </w:r>
            <w:r>
              <w:rPr>
                <w:noProof/>
                <w:webHidden/>
              </w:rPr>
              <w:fldChar w:fldCharType="separate"/>
            </w:r>
            <w:r>
              <w:rPr>
                <w:noProof/>
                <w:webHidden/>
              </w:rPr>
              <w:t>54</w:t>
            </w:r>
            <w:r>
              <w:rPr>
                <w:noProof/>
                <w:webHidden/>
              </w:rPr>
              <w:fldChar w:fldCharType="end"/>
            </w:r>
          </w:hyperlink>
        </w:p>
        <w:p w:rsidR="008F715D" w:rsidRDefault="008F715D" w:rsidP="008F715D">
          <w:pPr>
            <w:pStyle w:val="TM1"/>
            <w:rPr>
              <w:rFonts w:asciiTheme="minorHAnsi" w:eastAsiaTheme="minorEastAsia" w:hAnsiTheme="minorHAnsi" w:cstheme="minorBidi"/>
              <w:b w:val="0"/>
              <w:sz w:val="22"/>
              <w:szCs w:val="22"/>
            </w:rPr>
          </w:pPr>
          <w:hyperlink w:anchor="_Toc462990896" w:history="1">
            <w:r w:rsidRPr="00CD41D4">
              <w:rPr>
                <w:rStyle w:val="Lienhypertexte"/>
              </w:rPr>
              <w:t>CONCLUSION</w:t>
            </w:r>
            <w:r>
              <w:rPr>
                <w:webHidden/>
              </w:rPr>
              <w:tab/>
            </w:r>
            <w:r>
              <w:rPr>
                <w:webHidden/>
              </w:rPr>
              <w:fldChar w:fldCharType="begin"/>
            </w:r>
            <w:r>
              <w:rPr>
                <w:webHidden/>
              </w:rPr>
              <w:instrText xml:space="preserve"> PAGEREF _Toc462990896 \h </w:instrText>
            </w:r>
            <w:r>
              <w:rPr>
                <w:webHidden/>
              </w:rPr>
            </w:r>
            <w:r>
              <w:rPr>
                <w:webHidden/>
              </w:rPr>
              <w:fldChar w:fldCharType="separate"/>
            </w:r>
            <w:r>
              <w:rPr>
                <w:webHidden/>
              </w:rPr>
              <w:t>55</w:t>
            </w:r>
            <w:r>
              <w:rPr>
                <w:webHidden/>
              </w:rPr>
              <w:fldChar w:fldCharType="end"/>
            </w:r>
          </w:hyperlink>
        </w:p>
        <w:p w:rsidR="008F715D" w:rsidRDefault="008F715D" w:rsidP="008F715D">
          <w:pPr>
            <w:pStyle w:val="TM1"/>
            <w:rPr>
              <w:rFonts w:asciiTheme="minorHAnsi" w:eastAsiaTheme="minorEastAsia" w:hAnsiTheme="minorHAnsi" w:cstheme="minorBidi"/>
              <w:b w:val="0"/>
              <w:sz w:val="22"/>
              <w:szCs w:val="22"/>
            </w:rPr>
          </w:pPr>
          <w:hyperlink w:anchor="_Toc462990897" w:history="1">
            <w:r w:rsidRPr="00CD41D4">
              <w:rPr>
                <w:rStyle w:val="Lienhypertexte"/>
              </w:rPr>
              <w:t>ANNEXES</w:t>
            </w:r>
            <w:r>
              <w:rPr>
                <w:webHidden/>
              </w:rPr>
              <w:tab/>
            </w:r>
            <w:r>
              <w:rPr>
                <w:webHidden/>
              </w:rPr>
              <w:fldChar w:fldCharType="begin"/>
            </w:r>
            <w:r>
              <w:rPr>
                <w:webHidden/>
              </w:rPr>
              <w:instrText xml:space="preserve"> PAGEREF _Toc462990897 \h </w:instrText>
            </w:r>
            <w:r>
              <w:rPr>
                <w:webHidden/>
              </w:rPr>
            </w:r>
            <w:r>
              <w:rPr>
                <w:webHidden/>
              </w:rPr>
              <w:fldChar w:fldCharType="separate"/>
            </w:r>
            <w:r>
              <w:rPr>
                <w:webHidden/>
              </w:rPr>
              <w:t>56</w:t>
            </w:r>
            <w:r>
              <w:rPr>
                <w:webHidden/>
              </w:rPr>
              <w:fldChar w:fldCharType="end"/>
            </w:r>
          </w:hyperlink>
        </w:p>
        <w:p w:rsidR="008F715D" w:rsidRPr="00A52E27" w:rsidRDefault="008F715D" w:rsidP="008F715D">
          <w:r w:rsidRPr="00A52E27">
            <w:rPr>
              <w:b/>
              <w:bCs/>
            </w:rPr>
            <w:fldChar w:fldCharType="end"/>
          </w:r>
        </w:p>
      </w:sdtContent>
    </w:sdt>
    <w:p w:rsidR="008F715D" w:rsidRDefault="008F715D" w:rsidP="008F715D">
      <w:pPr>
        <w:spacing w:after="200" w:line="276" w:lineRule="auto"/>
        <w:rPr>
          <w:sz w:val="28"/>
          <w:szCs w:val="28"/>
        </w:rPr>
      </w:pPr>
      <w:bookmarkStart w:id="1" w:name="_Toc453833407"/>
      <w:r>
        <w:rPr>
          <w:sz w:val="28"/>
          <w:szCs w:val="28"/>
        </w:rPr>
        <w:br w:type="page"/>
      </w:r>
    </w:p>
    <w:p w:rsidR="008F715D" w:rsidRPr="00B75EA4" w:rsidRDefault="008F715D" w:rsidP="008F715D">
      <w:pPr>
        <w:pStyle w:val="NormalWeb"/>
        <w:spacing w:before="0" w:beforeAutospacing="0" w:after="0" w:afterAutospacing="0"/>
        <w:jc w:val="both"/>
        <w:rPr>
          <w:sz w:val="28"/>
          <w:szCs w:val="28"/>
        </w:rPr>
      </w:pPr>
    </w:p>
    <w:p w:rsidR="008F715D" w:rsidRPr="00E9774B" w:rsidRDefault="008F715D" w:rsidP="008F715D">
      <w:pPr>
        <w:pStyle w:val="Titre1"/>
        <w:keepLines/>
        <w:pBdr>
          <w:top w:val="single" w:sz="4" w:space="1" w:color="31849B" w:themeColor="accent5" w:themeShade="BF"/>
          <w:bottom w:val="double" w:sz="4" w:space="1" w:color="auto"/>
        </w:pBdr>
        <w:shd w:val="clear" w:color="auto" w:fill="DAEEF3" w:themeFill="accent5" w:themeFillTint="33"/>
        <w:spacing w:before="480" w:after="240" w:line="276" w:lineRule="auto"/>
        <w:rPr>
          <w:color w:val="0000FF"/>
          <w:szCs w:val="28"/>
        </w:rPr>
      </w:pPr>
      <w:bookmarkStart w:id="2" w:name="_Toc462990798"/>
      <w:r w:rsidRPr="00E9774B">
        <w:rPr>
          <w:color w:val="0000FF"/>
          <w:szCs w:val="28"/>
        </w:rPr>
        <w:t>RESUME EXECUTIF</w:t>
      </w:r>
      <w:bookmarkEnd w:id="1"/>
      <w:bookmarkEnd w:id="2"/>
    </w:p>
    <w:p w:rsidR="008F715D" w:rsidRPr="00811173" w:rsidRDefault="008F715D" w:rsidP="008F715D">
      <w:pPr>
        <w:pStyle w:val="NormalWeb"/>
        <w:spacing w:before="0" w:beforeAutospacing="0" w:after="240" w:afterAutospacing="0"/>
        <w:jc w:val="both"/>
        <w:rPr>
          <w:sz w:val="28"/>
          <w:szCs w:val="28"/>
        </w:rPr>
      </w:pPr>
      <w:r w:rsidRPr="00811173">
        <w:rPr>
          <w:sz w:val="28"/>
          <w:szCs w:val="28"/>
        </w:rPr>
        <w:t>Au cours du second trimestre 2016, deux faits ont marqué le contexte économique international : la remontée observée des cours du pétrole par rapport  au premier trimestre et le vote pour la sortie de la Grande Bretagne de l’Union Européenne, avec des conséquences attendues sur l’investissement  et la confiance des marchés dans les pays du périmètre européen.</w:t>
      </w:r>
    </w:p>
    <w:p w:rsidR="008F715D" w:rsidRPr="00811173" w:rsidRDefault="008F715D" w:rsidP="008F715D">
      <w:pPr>
        <w:pStyle w:val="NormalWeb"/>
        <w:spacing w:before="0" w:beforeAutospacing="0" w:after="240" w:afterAutospacing="0"/>
        <w:jc w:val="both"/>
        <w:rPr>
          <w:sz w:val="28"/>
          <w:szCs w:val="28"/>
        </w:rPr>
      </w:pPr>
      <w:r w:rsidRPr="00811173">
        <w:rPr>
          <w:sz w:val="28"/>
          <w:szCs w:val="28"/>
        </w:rPr>
        <w:t>L’économie mondiale est restée dans son ensemble dans un cycle de croissance fragile. En effet, de nombreux facteurs de risques continuent de peser sur les perspectives économiques mondiales. L’atonie des échanges et de la production industrielle dans le monde  n’a pas favorisé une amélioration plus importante de la croissance.</w:t>
      </w:r>
    </w:p>
    <w:p w:rsidR="008F715D" w:rsidRPr="00811173" w:rsidRDefault="008F715D" w:rsidP="008F715D">
      <w:pPr>
        <w:pStyle w:val="NormalWeb"/>
        <w:spacing w:before="0" w:beforeAutospacing="0" w:after="240" w:afterAutospacing="0"/>
        <w:jc w:val="both"/>
        <w:rPr>
          <w:strike/>
          <w:sz w:val="28"/>
          <w:szCs w:val="28"/>
        </w:rPr>
      </w:pPr>
      <w:r w:rsidRPr="00811173">
        <w:rPr>
          <w:sz w:val="28"/>
          <w:szCs w:val="28"/>
        </w:rPr>
        <w:t xml:space="preserve">Le résultat du référendum britannique a créé en fin de semestre un climat d’incertitude en Europe et fragilisé la reprise économique dans l’espace européen. Par ailleurs, bien qu’en nette embellie, les cours des matières premières sont restés encore à des seuils peu rémunérateurs pour les pays émergents et en développement, fortement tributaires des produits de base. </w:t>
      </w:r>
    </w:p>
    <w:p w:rsidR="008F715D" w:rsidRPr="00811173" w:rsidRDefault="008F715D" w:rsidP="008F715D">
      <w:pPr>
        <w:pStyle w:val="NormalWeb"/>
        <w:spacing w:before="0" w:beforeAutospacing="0" w:after="240" w:afterAutospacing="0"/>
        <w:jc w:val="both"/>
        <w:rPr>
          <w:sz w:val="28"/>
          <w:szCs w:val="28"/>
        </w:rPr>
      </w:pPr>
      <w:r>
        <w:rPr>
          <w:sz w:val="28"/>
          <w:szCs w:val="28"/>
        </w:rPr>
        <w:t>L</w:t>
      </w:r>
      <w:r w:rsidRPr="00811173">
        <w:rPr>
          <w:sz w:val="28"/>
          <w:szCs w:val="28"/>
        </w:rPr>
        <w:t>es divisions politiques entre pays avancés et les tensions géopolitiques dans le monde ont constitué à nouveau des facteurs de risque.</w:t>
      </w:r>
    </w:p>
    <w:p w:rsidR="008F715D" w:rsidRPr="00811173" w:rsidRDefault="008F715D" w:rsidP="008F715D">
      <w:pPr>
        <w:pStyle w:val="NormalWeb"/>
        <w:spacing w:before="0" w:beforeAutospacing="0" w:after="240" w:afterAutospacing="0"/>
        <w:jc w:val="both"/>
        <w:rPr>
          <w:sz w:val="28"/>
          <w:szCs w:val="28"/>
        </w:rPr>
      </w:pPr>
      <w:r w:rsidRPr="00811173">
        <w:rPr>
          <w:sz w:val="28"/>
          <w:szCs w:val="28"/>
        </w:rPr>
        <w:t>Au Gabon, la situation économique d’ensemble a été le reflet des évolutions de l’environnement international.</w:t>
      </w:r>
      <w:r w:rsidRPr="00811173">
        <w:rPr>
          <w:b/>
          <w:sz w:val="28"/>
          <w:szCs w:val="28"/>
        </w:rPr>
        <w:t xml:space="preserve"> Le secteur primaire</w:t>
      </w:r>
      <w:r w:rsidRPr="00811173">
        <w:rPr>
          <w:sz w:val="28"/>
          <w:szCs w:val="28"/>
        </w:rPr>
        <w:t xml:space="preserve"> a enregistré une conjoncture moins favorable au terme des six premiers mois. Ainsi, à l’exception de l’exploitation forestière dont l’évolution de l’activité est demeurée positive, les autres activités du secteur à savoir, le pétrole, le manganèse et l’or se sont orientées à la baisse.</w:t>
      </w:r>
    </w:p>
    <w:p w:rsidR="008F715D" w:rsidRPr="00811173" w:rsidRDefault="008F715D" w:rsidP="008F715D">
      <w:pPr>
        <w:pStyle w:val="NormalWeb"/>
        <w:spacing w:before="0" w:beforeAutospacing="0" w:after="240" w:afterAutospacing="0"/>
        <w:jc w:val="both"/>
        <w:rPr>
          <w:sz w:val="28"/>
          <w:szCs w:val="28"/>
        </w:rPr>
      </w:pPr>
      <w:r w:rsidRPr="00811173">
        <w:rPr>
          <w:sz w:val="28"/>
          <w:szCs w:val="28"/>
        </w:rPr>
        <w:t xml:space="preserve">Le secteur pétrole a pâti des conséquences d’un incident technique sur un site et du déclin naturel des champs matures, qui ont entrainé un très léger recul de la production. Les exportations ont néanmoins progressé sous l’effet de la demande extérieure. </w:t>
      </w:r>
    </w:p>
    <w:p w:rsidR="008F715D" w:rsidRPr="00811173" w:rsidRDefault="008F715D" w:rsidP="008F715D">
      <w:pPr>
        <w:pStyle w:val="NormalWeb"/>
        <w:spacing w:before="0" w:beforeAutospacing="0" w:after="240" w:afterAutospacing="0"/>
        <w:jc w:val="both"/>
        <w:rPr>
          <w:sz w:val="28"/>
          <w:szCs w:val="28"/>
        </w:rPr>
      </w:pPr>
      <w:r w:rsidRPr="00811173">
        <w:rPr>
          <w:sz w:val="28"/>
          <w:szCs w:val="28"/>
        </w:rPr>
        <w:t xml:space="preserve">La production nationale de minerai et d’agglomérés de manganèse a chuté de 25,7% à 1,5 million de tonnes à fin juin 2016. Cette baisse résulte d’un arrêt volontaire de la production au mois de mars sur le site de COMILOG, en vue de réduire les niveaux de stocks accumulés. La production du site de Ndjolé est restée interrompue, compte tenu de la faiblesse des prix sur le marché international. </w:t>
      </w:r>
    </w:p>
    <w:p w:rsidR="008F715D" w:rsidRPr="00811173" w:rsidRDefault="008F715D" w:rsidP="008F715D">
      <w:pPr>
        <w:pStyle w:val="NormalWeb"/>
        <w:spacing w:before="0" w:beforeAutospacing="0" w:after="240" w:afterAutospacing="0"/>
        <w:jc w:val="both"/>
        <w:rPr>
          <w:sz w:val="28"/>
          <w:szCs w:val="28"/>
        </w:rPr>
      </w:pPr>
      <w:r w:rsidRPr="00811173">
        <w:rPr>
          <w:sz w:val="28"/>
          <w:szCs w:val="28"/>
        </w:rPr>
        <w:lastRenderedPageBreak/>
        <w:t>De même l'activité aurifère a été marquée par un ralentissement durant le premier semestre 2016, suite aux arrêts de la production induits par les fortes pluies qui ont inondé la mine et aux difficultés d’évacuation du minerai.</w:t>
      </w:r>
    </w:p>
    <w:p w:rsidR="008F715D" w:rsidRPr="00811173" w:rsidRDefault="008F715D" w:rsidP="008F715D">
      <w:pPr>
        <w:pStyle w:val="NormalWeb"/>
        <w:spacing w:before="0" w:beforeAutospacing="0" w:after="240" w:afterAutospacing="0"/>
        <w:jc w:val="both"/>
        <w:rPr>
          <w:sz w:val="28"/>
          <w:szCs w:val="28"/>
        </w:rPr>
      </w:pPr>
      <w:r w:rsidRPr="00811173">
        <w:rPr>
          <w:sz w:val="28"/>
          <w:szCs w:val="28"/>
        </w:rPr>
        <w:t xml:space="preserve">Dans </w:t>
      </w:r>
      <w:r w:rsidRPr="00811173">
        <w:rPr>
          <w:b/>
          <w:sz w:val="28"/>
          <w:szCs w:val="28"/>
        </w:rPr>
        <w:t>le secteur secondaire</w:t>
      </w:r>
      <w:r w:rsidRPr="00811173">
        <w:rPr>
          <w:sz w:val="28"/>
          <w:szCs w:val="28"/>
        </w:rPr>
        <w:t xml:space="preserve">, l’activité manufacturière confirme la tendance haussière observée au premier trimestre et progresse grâce notamment aux agro industries dont l’essentiel de ses composantes (à l’exception des huiles et corps gras et de la production sucrière) enregistrent des performances appréciables. </w:t>
      </w:r>
    </w:p>
    <w:p w:rsidR="008F715D" w:rsidRPr="00811173" w:rsidRDefault="008F715D" w:rsidP="008F715D">
      <w:pPr>
        <w:pStyle w:val="NormalWeb"/>
        <w:spacing w:before="0" w:beforeAutospacing="0" w:after="240" w:afterAutospacing="0"/>
        <w:jc w:val="both"/>
        <w:rPr>
          <w:sz w:val="28"/>
          <w:szCs w:val="28"/>
        </w:rPr>
      </w:pPr>
      <w:r w:rsidRPr="00811173">
        <w:rPr>
          <w:sz w:val="28"/>
          <w:szCs w:val="28"/>
        </w:rPr>
        <w:t>Il en est de même de  l’industrie du bois, symbole d’une volonté politique forte des autorités, qui constituent désormais une valeur sûre du tissu industriel national.</w:t>
      </w:r>
    </w:p>
    <w:p w:rsidR="008F715D" w:rsidRPr="00811173" w:rsidRDefault="008F715D" w:rsidP="008F715D">
      <w:pPr>
        <w:pStyle w:val="NormalWeb"/>
        <w:spacing w:before="0" w:beforeAutospacing="0" w:after="240" w:afterAutospacing="0"/>
        <w:jc w:val="both"/>
        <w:rPr>
          <w:sz w:val="28"/>
          <w:szCs w:val="28"/>
        </w:rPr>
      </w:pPr>
      <w:r w:rsidRPr="00811173">
        <w:rPr>
          <w:sz w:val="28"/>
          <w:szCs w:val="28"/>
        </w:rPr>
        <w:t>Les autres activités sont demeurées bien orientées, notamment le raffinage et la distribution de l’eau et de l’électricité.</w:t>
      </w:r>
    </w:p>
    <w:p w:rsidR="008F715D" w:rsidRPr="00811173" w:rsidRDefault="008F715D" w:rsidP="008F715D">
      <w:pPr>
        <w:pStyle w:val="NormalWeb"/>
        <w:spacing w:before="0" w:beforeAutospacing="0" w:after="240" w:afterAutospacing="0"/>
        <w:jc w:val="both"/>
        <w:rPr>
          <w:sz w:val="28"/>
          <w:szCs w:val="28"/>
        </w:rPr>
      </w:pPr>
      <w:r w:rsidRPr="00811173">
        <w:rPr>
          <w:sz w:val="28"/>
          <w:szCs w:val="28"/>
        </w:rPr>
        <w:t>Dans la branche BTP, l’activité peine à redémarrer du fait de la baisse des commandes et du ralentissement de la plupart des chantiers en cours de réalisation.</w:t>
      </w:r>
    </w:p>
    <w:p w:rsidR="008F715D" w:rsidRPr="00811173" w:rsidRDefault="008F715D" w:rsidP="008F715D">
      <w:pPr>
        <w:pStyle w:val="NormalWeb"/>
        <w:spacing w:before="0" w:beforeAutospacing="0" w:after="240" w:afterAutospacing="0"/>
        <w:jc w:val="both"/>
        <w:rPr>
          <w:sz w:val="28"/>
          <w:szCs w:val="28"/>
        </w:rPr>
      </w:pPr>
      <w:r w:rsidRPr="00811173">
        <w:rPr>
          <w:sz w:val="28"/>
          <w:szCs w:val="28"/>
        </w:rPr>
        <w:t xml:space="preserve">La  conjoncture dans </w:t>
      </w:r>
      <w:r w:rsidRPr="00811173">
        <w:rPr>
          <w:b/>
          <w:sz w:val="28"/>
          <w:szCs w:val="28"/>
        </w:rPr>
        <w:t>le secteur tertiaire</w:t>
      </w:r>
      <w:r w:rsidRPr="00811173">
        <w:rPr>
          <w:sz w:val="28"/>
          <w:szCs w:val="28"/>
        </w:rPr>
        <w:t xml:space="preserve"> s’est quelque peu améliorée. Ainsi, en plus des services immobiliers, les télécommunications, la vente de véhicules industrielles,  hôtellerie - restauration et les produits pharmaceutiques, ont enregistré des résultats positifs au cours de la période sous revue.</w:t>
      </w:r>
    </w:p>
    <w:p w:rsidR="008F715D" w:rsidRPr="00811173" w:rsidRDefault="008F715D" w:rsidP="008F715D">
      <w:pPr>
        <w:pStyle w:val="NormalWeb"/>
        <w:spacing w:before="0" w:beforeAutospacing="0" w:after="240" w:afterAutospacing="0"/>
        <w:jc w:val="both"/>
        <w:rPr>
          <w:sz w:val="28"/>
          <w:szCs w:val="28"/>
        </w:rPr>
      </w:pPr>
      <w:r w:rsidRPr="00811173">
        <w:rPr>
          <w:sz w:val="28"/>
          <w:szCs w:val="28"/>
        </w:rPr>
        <w:t>Les activités financières ont connu des fortunes diverses. Ainsi, à fin juin 2016, le total agrégé du bilan des banques est en hausse du fait de l’accroissement des crédits nets. De même, les établissements de microfinance ont enregistré des performances intéressantes.</w:t>
      </w:r>
    </w:p>
    <w:p w:rsidR="008F715D" w:rsidRPr="00811173" w:rsidRDefault="008F715D" w:rsidP="008F715D">
      <w:pPr>
        <w:pStyle w:val="NormalWeb"/>
        <w:spacing w:before="0" w:beforeAutospacing="0" w:after="240" w:afterAutospacing="0"/>
        <w:jc w:val="both"/>
        <w:rPr>
          <w:sz w:val="28"/>
          <w:szCs w:val="28"/>
        </w:rPr>
      </w:pPr>
      <w:r w:rsidRPr="00811173">
        <w:rPr>
          <w:sz w:val="28"/>
          <w:szCs w:val="28"/>
        </w:rPr>
        <w:t>A contrario, l’activité assurance a poursuivi son mouvement baissier déjà observé depuis le quatrième trimestre de l’année 2015. Cette branche subi les effets du contexte économique difficile. Suivant la même tendance, les établissements financiers ont enregistré un recul de leurs ressources et des emplois.</w:t>
      </w:r>
    </w:p>
    <w:p w:rsidR="008F715D" w:rsidRPr="00811173" w:rsidRDefault="008F715D" w:rsidP="008F715D">
      <w:pPr>
        <w:spacing w:after="240"/>
        <w:jc w:val="both"/>
        <w:rPr>
          <w:strike/>
          <w:sz w:val="28"/>
          <w:szCs w:val="28"/>
        </w:rPr>
      </w:pPr>
      <w:r w:rsidRPr="00811173">
        <w:rPr>
          <w:sz w:val="28"/>
          <w:szCs w:val="28"/>
        </w:rPr>
        <w:t xml:space="preserve">Sur le plan macroéconomique, </w:t>
      </w:r>
      <w:r w:rsidRPr="00811173">
        <w:rPr>
          <w:b/>
          <w:sz w:val="28"/>
          <w:szCs w:val="28"/>
        </w:rPr>
        <w:t>l’indice harmonisé des prix à la consommation</w:t>
      </w:r>
      <w:r w:rsidRPr="00811173">
        <w:rPr>
          <w:sz w:val="28"/>
          <w:szCs w:val="28"/>
        </w:rPr>
        <w:t xml:space="preserve"> a progressé de 0,7% sur les six premiers mois. Cette augmentation observée des prix s’explique entre autres par la hausse des prix du transport. </w:t>
      </w:r>
    </w:p>
    <w:p w:rsidR="008F715D" w:rsidRPr="00D727A0" w:rsidRDefault="008F715D" w:rsidP="008F715D">
      <w:pPr>
        <w:spacing w:after="240"/>
        <w:jc w:val="both"/>
        <w:rPr>
          <w:sz w:val="28"/>
          <w:szCs w:val="28"/>
        </w:rPr>
      </w:pPr>
    </w:p>
    <w:p w:rsidR="008F715D" w:rsidRPr="00D727A0" w:rsidRDefault="008F715D" w:rsidP="008F715D">
      <w:pPr>
        <w:autoSpaceDE w:val="0"/>
        <w:autoSpaceDN w:val="0"/>
        <w:adjustRightInd w:val="0"/>
        <w:spacing w:after="240" w:line="276" w:lineRule="auto"/>
        <w:jc w:val="both"/>
        <w:rPr>
          <w:sz w:val="28"/>
          <w:szCs w:val="28"/>
        </w:rPr>
      </w:pPr>
      <w:r w:rsidRPr="00D727A0">
        <w:rPr>
          <w:sz w:val="28"/>
          <w:szCs w:val="28"/>
        </w:rPr>
        <w:t xml:space="preserve">S’agissant des </w:t>
      </w:r>
      <w:r w:rsidRPr="00D727A0">
        <w:rPr>
          <w:b/>
          <w:sz w:val="28"/>
          <w:szCs w:val="28"/>
        </w:rPr>
        <w:t>finances publiques</w:t>
      </w:r>
      <w:r w:rsidRPr="00D727A0">
        <w:rPr>
          <w:sz w:val="28"/>
          <w:szCs w:val="28"/>
        </w:rPr>
        <w:t xml:space="preserve">, au premier semestre 2016, le budget en recettes s’est établi à 751,0 milliards de FCFA, soit une diminution de 24,5% par rapport à la même période en 2015. En matière de dépenses, à fin juin 2016, </w:t>
      </w:r>
      <w:r w:rsidRPr="00D727A0">
        <w:rPr>
          <w:sz w:val="28"/>
          <w:szCs w:val="28"/>
        </w:rPr>
        <w:lastRenderedPageBreak/>
        <w:t>l’exécution du budget fait ressortir des déficits des soldes primaire, base engagement et base caisse.</w:t>
      </w:r>
    </w:p>
    <w:p w:rsidR="008F715D" w:rsidRPr="00D727A0" w:rsidRDefault="008F715D" w:rsidP="008F715D">
      <w:pPr>
        <w:autoSpaceDE w:val="0"/>
        <w:autoSpaceDN w:val="0"/>
        <w:adjustRightInd w:val="0"/>
        <w:spacing w:before="240" w:after="240" w:line="276" w:lineRule="auto"/>
        <w:jc w:val="both"/>
        <w:rPr>
          <w:sz w:val="28"/>
          <w:szCs w:val="28"/>
        </w:rPr>
      </w:pPr>
      <w:r w:rsidRPr="00D727A0">
        <w:rPr>
          <w:sz w:val="28"/>
          <w:szCs w:val="28"/>
        </w:rPr>
        <w:t xml:space="preserve">Le solde primaire a affiché un déficit de 35,9 milliards de FCFA contre un excédent de 232,9 milliards de FCFA à la même période en 2015. Le solde base engagement, incluant la charge de la dette publique, s’est établi à -132,6 milliards de FCFA à fin juin 2016 contre un excédent de 159,8 milliards de FCFA au premier semestre de l’année précédente. Le déficit budgétaire base caisse s’est établi à 312,0 milliards de FCFA au premier semestre 2016 contre un excédent de 13,2 milliards de FCFA à la même période en 2015. </w:t>
      </w:r>
    </w:p>
    <w:p w:rsidR="008F715D" w:rsidRDefault="008F715D" w:rsidP="008F715D">
      <w:pPr>
        <w:spacing w:after="240"/>
        <w:jc w:val="both"/>
        <w:rPr>
          <w:sz w:val="28"/>
          <w:szCs w:val="28"/>
        </w:rPr>
      </w:pPr>
      <w:r w:rsidRPr="00811173">
        <w:rPr>
          <w:sz w:val="28"/>
          <w:szCs w:val="28"/>
        </w:rPr>
        <w:t xml:space="preserve">En matière </w:t>
      </w:r>
      <w:r w:rsidRPr="00D727A0">
        <w:rPr>
          <w:sz w:val="28"/>
          <w:szCs w:val="28"/>
        </w:rPr>
        <w:t xml:space="preserve">de </w:t>
      </w:r>
      <w:r w:rsidRPr="00D727A0">
        <w:rPr>
          <w:b/>
          <w:sz w:val="28"/>
          <w:szCs w:val="28"/>
        </w:rPr>
        <w:t>politique de d’endettement</w:t>
      </w:r>
      <w:r w:rsidRPr="00811173">
        <w:rPr>
          <w:sz w:val="28"/>
          <w:szCs w:val="28"/>
        </w:rPr>
        <w:t xml:space="preserve">, il convient de relever que le Gabon a continué d’honorer ses engagements auprès de ses créanciers locaux et extérieurs. </w:t>
      </w:r>
      <w:r>
        <w:rPr>
          <w:sz w:val="28"/>
          <w:szCs w:val="28"/>
        </w:rPr>
        <w:t xml:space="preserve">Au premier semestre, </w:t>
      </w:r>
      <w:r w:rsidRPr="00D727A0">
        <w:rPr>
          <w:sz w:val="28"/>
          <w:szCs w:val="28"/>
        </w:rPr>
        <w:t>la situation de la dette publique s’est caractérisée par une hausse de 14,9% des règlements et de 39,2</w:t>
      </w:r>
      <w:r>
        <w:rPr>
          <w:sz w:val="28"/>
          <w:szCs w:val="28"/>
        </w:rPr>
        <w:t>% des décaissements</w:t>
      </w:r>
      <w:r w:rsidRPr="00D727A0">
        <w:rPr>
          <w:sz w:val="28"/>
          <w:szCs w:val="28"/>
        </w:rPr>
        <w:t>.</w:t>
      </w:r>
      <w:r>
        <w:rPr>
          <w:sz w:val="28"/>
          <w:szCs w:val="28"/>
        </w:rPr>
        <w:t xml:space="preserve"> </w:t>
      </w:r>
      <w:r w:rsidRPr="00811173">
        <w:rPr>
          <w:sz w:val="28"/>
          <w:szCs w:val="28"/>
        </w:rPr>
        <w:t xml:space="preserve">Toutefois, un accent a été mis sur le règlement de la dette intérieure qui a progressé </w:t>
      </w:r>
      <w:r w:rsidRPr="00D727A0">
        <w:rPr>
          <w:sz w:val="28"/>
          <w:szCs w:val="28"/>
        </w:rPr>
        <w:t xml:space="preserve">de 69,9%. </w:t>
      </w:r>
      <w:r w:rsidRPr="00811173">
        <w:rPr>
          <w:sz w:val="28"/>
          <w:szCs w:val="28"/>
        </w:rPr>
        <w:t xml:space="preserve">Dans le même temps, le stock de la dette a augmenté </w:t>
      </w:r>
      <w:r>
        <w:rPr>
          <w:sz w:val="28"/>
          <w:szCs w:val="28"/>
        </w:rPr>
        <w:t xml:space="preserve">de 5,5% </w:t>
      </w:r>
      <w:r w:rsidRPr="00811173">
        <w:rPr>
          <w:sz w:val="28"/>
          <w:szCs w:val="28"/>
        </w:rPr>
        <w:t>du fait d’une progression de la dette intér</w:t>
      </w:r>
      <w:r>
        <w:rPr>
          <w:sz w:val="28"/>
          <w:szCs w:val="28"/>
        </w:rPr>
        <w:t xml:space="preserve">ieure au cours de la période. </w:t>
      </w:r>
    </w:p>
    <w:p w:rsidR="008F715D" w:rsidRPr="00811173" w:rsidRDefault="008F715D" w:rsidP="008F715D">
      <w:pPr>
        <w:pStyle w:val="NormalWeb"/>
        <w:spacing w:before="0" w:beforeAutospacing="0" w:after="240" w:afterAutospacing="0"/>
        <w:jc w:val="both"/>
        <w:rPr>
          <w:sz w:val="28"/>
          <w:szCs w:val="28"/>
        </w:rPr>
      </w:pPr>
      <w:r w:rsidRPr="00811173">
        <w:rPr>
          <w:b/>
          <w:sz w:val="28"/>
          <w:szCs w:val="28"/>
        </w:rPr>
        <w:t>Le solde extérieur</w:t>
      </w:r>
      <w:r w:rsidRPr="00811173">
        <w:rPr>
          <w:sz w:val="28"/>
          <w:szCs w:val="28"/>
        </w:rPr>
        <w:t xml:space="preserve"> est demeuré positif en dépit d’une baisse des exportations et d’une augmentation des importations.</w:t>
      </w:r>
    </w:p>
    <w:p w:rsidR="008F715D" w:rsidRPr="00811173" w:rsidRDefault="008F715D" w:rsidP="008F715D">
      <w:pPr>
        <w:spacing w:after="240"/>
        <w:jc w:val="both"/>
        <w:rPr>
          <w:sz w:val="28"/>
          <w:szCs w:val="28"/>
        </w:rPr>
      </w:pPr>
      <w:r w:rsidRPr="00811173">
        <w:rPr>
          <w:sz w:val="28"/>
          <w:szCs w:val="28"/>
        </w:rPr>
        <w:t xml:space="preserve">Enfin, à fin juin 2016, </w:t>
      </w:r>
      <w:r w:rsidRPr="00811173">
        <w:rPr>
          <w:b/>
          <w:sz w:val="28"/>
          <w:szCs w:val="28"/>
        </w:rPr>
        <w:t>la situation monétaire large</w:t>
      </w:r>
      <w:r w:rsidRPr="00811173">
        <w:rPr>
          <w:sz w:val="28"/>
          <w:szCs w:val="28"/>
        </w:rPr>
        <w:t xml:space="preserve">  a été  marquée par une hausse de la masse monétaire, une augmentation du crédit intérieur net et une contraction des avoirs extérieurs nets.   </w:t>
      </w:r>
    </w:p>
    <w:p w:rsidR="008F715D" w:rsidRPr="00811173" w:rsidRDefault="008F715D" w:rsidP="008F715D">
      <w:pPr>
        <w:spacing w:after="240"/>
        <w:rPr>
          <w:b/>
          <w:bCs/>
          <w:sz w:val="28"/>
          <w:szCs w:val="28"/>
        </w:rPr>
      </w:pPr>
      <w:bookmarkStart w:id="3" w:name="_Toc389653120"/>
      <w:bookmarkStart w:id="4" w:name="_Toc389653348"/>
      <w:bookmarkStart w:id="5" w:name="_Toc427249271"/>
      <w:r w:rsidRPr="00811173">
        <w:rPr>
          <w:sz w:val="28"/>
          <w:szCs w:val="28"/>
        </w:rPr>
        <w:br w:type="page"/>
      </w:r>
    </w:p>
    <w:p w:rsidR="008F715D" w:rsidRPr="00346705" w:rsidRDefault="008F715D" w:rsidP="008F715D">
      <w:pPr>
        <w:pStyle w:val="Titre1"/>
        <w:keepLines/>
        <w:pBdr>
          <w:top w:val="single" w:sz="4" w:space="1" w:color="31849B" w:themeColor="accent5" w:themeShade="BF"/>
          <w:bottom w:val="double" w:sz="4" w:space="1" w:color="auto"/>
        </w:pBdr>
        <w:shd w:val="clear" w:color="auto" w:fill="DAEEF3" w:themeFill="accent5" w:themeFillTint="33"/>
        <w:spacing w:before="480" w:after="240" w:line="276" w:lineRule="auto"/>
        <w:rPr>
          <w:color w:val="0000FF"/>
          <w:szCs w:val="28"/>
        </w:rPr>
      </w:pPr>
      <w:bookmarkStart w:id="6" w:name="_Toc462990799"/>
      <w:r w:rsidRPr="00346705">
        <w:rPr>
          <w:color w:val="0000FF"/>
          <w:szCs w:val="28"/>
        </w:rPr>
        <w:lastRenderedPageBreak/>
        <w:t xml:space="preserve">PREMIERE PARTIE: L’ECONOMIE MONDIALE </w:t>
      </w:r>
      <w:bookmarkEnd w:id="3"/>
      <w:bookmarkEnd w:id="4"/>
      <w:r w:rsidRPr="00346705">
        <w:rPr>
          <w:color w:val="0000FF"/>
          <w:szCs w:val="28"/>
        </w:rPr>
        <w:t>A FIN JUIN 201</w:t>
      </w:r>
      <w:bookmarkEnd w:id="5"/>
      <w:r w:rsidRPr="00346705">
        <w:rPr>
          <w:color w:val="0000FF"/>
          <w:szCs w:val="28"/>
        </w:rPr>
        <w:t>6</w:t>
      </w:r>
      <w:bookmarkEnd w:id="6"/>
    </w:p>
    <w:p w:rsidR="008F715D" w:rsidRDefault="008F715D" w:rsidP="008F715D">
      <w:pPr>
        <w:pStyle w:val="NormalWeb"/>
        <w:spacing w:line="276" w:lineRule="auto"/>
        <w:jc w:val="both"/>
      </w:pPr>
      <w:r>
        <w:t xml:space="preserve">Le contexte économique global de l’économie mondiale au premier semestre est caractérisé par une croissance timide dans la plupart des pays avancés, et une situation économique contrastée dans les pays émergents et en développement. </w:t>
      </w:r>
    </w:p>
    <w:p w:rsidR="008F715D" w:rsidRDefault="008F715D" w:rsidP="008F715D">
      <w:pPr>
        <w:pStyle w:val="NormalWeb"/>
        <w:spacing w:line="276" w:lineRule="auto"/>
        <w:jc w:val="both"/>
      </w:pPr>
      <w:r>
        <w:t xml:space="preserve">Ainsi, en dépit de l’incertitude liée au référendum britannique, intervenu fin juin, la croissance de la production  a légèrement dépassé les attentes dans les pays émergents et en développement et est demeurée globalement conforme aux prévisions dans les pays avancés. </w:t>
      </w:r>
    </w:p>
    <w:p w:rsidR="008F715D" w:rsidRDefault="008F715D" w:rsidP="008F715D">
      <w:pPr>
        <w:pStyle w:val="NormalWeb"/>
        <w:spacing w:line="276" w:lineRule="auto"/>
        <w:jc w:val="both"/>
      </w:pPr>
      <w:r>
        <w:t xml:space="preserve">Le redressement des </w:t>
      </w:r>
      <w:r w:rsidRPr="00B06894">
        <w:t>marchés financiers</w:t>
      </w:r>
      <w:r>
        <w:t xml:space="preserve"> et pétrolier amorcé à  mi-février s’est poursuivi grâce à une diminution de l’excédent de l’offre de pétrole des pays hors OPEP et à des perturbations </w:t>
      </w:r>
      <w:r w:rsidRPr="00B06894">
        <w:t>intervenues dans certains pays producteurs</w:t>
      </w:r>
      <w:r>
        <w:t>. A contrario l’activité industrielle et les échanges au niveau mondial ont été moroses.</w:t>
      </w:r>
    </w:p>
    <w:p w:rsidR="008F715D" w:rsidRPr="00B06894" w:rsidRDefault="008F715D" w:rsidP="008F715D">
      <w:pPr>
        <w:pStyle w:val="NormalWeb"/>
        <w:spacing w:line="276" w:lineRule="auto"/>
        <w:jc w:val="both"/>
      </w:pPr>
      <w:r>
        <w:t>De nombreux</w:t>
      </w:r>
      <w:r w:rsidRPr="009520BA">
        <w:t xml:space="preserve"> risques concour</w:t>
      </w:r>
      <w:r>
        <w:t>a</w:t>
      </w:r>
      <w:r w:rsidRPr="009520BA">
        <w:t xml:space="preserve">nt à une dégradation de la situation économique globale demeurent présents à savoir, une  demande intérieure </w:t>
      </w:r>
      <w:r>
        <w:t>encore trop faible</w:t>
      </w:r>
      <w:r w:rsidRPr="009520BA">
        <w:t xml:space="preserve"> dans</w:t>
      </w:r>
      <w:r>
        <w:t xml:space="preserve"> certains pays </w:t>
      </w:r>
      <w:r w:rsidRPr="00B06894">
        <w:t>avancés, et une croissance excessive du crédit dans les pays émergents et en développement.</w:t>
      </w:r>
    </w:p>
    <w:p w:rsidR="008F715D" w:rsidRPr="00556797" w:rsidRDefault="008F715D" w:rsidP="008F715D">
      <w:pPr>
        <w:pStyle w:val="NormalWeb"/>
        <w:spacing w:line="276" w:lineRule="auto"/>
        <w:jc w:val="both"/>
        <w:rPr>
          <w:color w:val="FF0000"/>
        </w:rPr>
      </w:pPr>
      <w:r w:rsidRPr="00B06894">
        <w:t>Au regard de ce qui précède, les perspectives économiques mondiales font état d’une croissance de 3,1% en 2016, ce qui représente une évolution similaire à celle observée en 2015</w:t>
      </w:r>
      <w:r w:rsidRPr="00B06894">
        <w:rPr>
          <w:color w:val="FF0000"/>
        </w:rPr>
        <w:t>.</w:t>
      </w:r>
    </w:p>
    <w:p w:rsidR="008F715D" w:rsidRDefault="008F715D" w:rsidP="008F715D">
      <w:pPr>
        <w:pStyle w:val="Titre2"/>
        <w:keepLines/>
        <w:shd w:val="clear" w:color="auto" w:fill="FFFFFF"/>
        <w:spacing w:before="120" w:after="120" w:line="276" w:lineRule="auto"/>
        <w:rPr>
          <w:b/>
          <w:bCs/>
          <w:i w:val="0"/>
          <w:color w:val="0000FF"/>
          <w:sz w:val="24"/>
        </w:rPr>
      </w:pPr>
      <w:bookmarkStart w:id="7" w:name="_Toc462990800"/>
      <w:r w:rsidRPr="00A52E27">
        <w:rPr>
          <w:b/>
          <w:bCs/>
          <w:i w:val="0"/>
          <w:color w:val="0000FF"/>
          <w:sz w:val="24"/>
        </w:rPr>
        <w:t>I.1 LA CONJONCTURE DANS LES PRINCIPAUX PAYS AVANCES</w:t>
      </w:r>
      <w:bookmarkEnd w:id="7"/>
    </w:p>
    <w:p w:rsidR="008F715D" w:rsidRPr="00B75EA4" w:rsidRDefault="008F715D" w:rsidP="008F715D">
      <w:pPr>
        <w:spacing w:after="240"/>
        <w:jc w:val="both"/>
      </w:pPr>
      <w:r w:rsidRPr="00B75EA4">
        <w:t>Dans les pays avancés, la situation économique est demeurée fragile au premier semestre en raison de l’atonie de la demande globale et des conséquences liées à la sortie de l’union européenne de la Grande Bretagne. Ainsi, en rythme annuel, la croissance des pays avancés se situerait à 1,8% en 2016 contre 1,9% en 2015.</w:t>
      </w:r>
    </w:p>
    <w:p w:rsidR="008F715D" w:rsidRPr="00B75EA4" w:rsidRDefault="008F715D" w:rsidP="008F715D">
      <w:pPr>
        <w:spacing w:after="240"/>
        <w:jc w:val="both"/>
        <w:rPr>
          <w:bCs/>
        </w:rPr>
      </w:pPr>
      <w:r w:rsidRPr="00B75EA4">
        <w:rPr>
          <w:bCs/>
        </w:rPr>
        <w:t xml:space="preserve">Malgré une chute des investissements, </w:t>
      </w:r>
      <w:r w:rsidRPr="00B75EA4">
        <w:t xml:space="preserve">le produit intérieur brut (PIB) des </w:t>
      </w:r>
      <w:r w:rsidRPr="00B75EA4">
        <w:rPr>
          <w:b/>
        </w:rPr>
        <w:t>Etats-Unis</w:t>
      </w:r>
      <w:r w:rsidRPr="00B75EA4">
        <w:t xml:space="preserve"> a crû de 1,2 % en rythme annuel. Au deuxième trimestre, la première économie mondiale a compté sur son moteur traditionnel (la consommation des ménages), qui a connu une forte poussée (4,2%) par rapport à l’augmentation de 1,6 % du premier trimestre.</w:t>
      </w:r>
    </w:p>
    <w:p w:rsidR="008F715D" w:rsidRPr="00B75EA4" w:rsidRDefault="008F715D" w:rsidP="008F715D">
      <w:pPr>
        <w:spacing w:after="240"/>
        <w:jc w:val="both"/>
        <w:rPr>
          <w:bCs/>
        </w:rPr>
      </w:pPr>
      <w:r w:rsidRPr="00B75EA4">
        <w:rPr>
          <w:bCs/>
        </w:rPr>
        <w:t xml:space="preserve">Après un bon début d'année, la croissance </w:t>
      </w:r>
      <w:r w:rsidRPr="00B75EA4">
        <w:rPr>
          <w:b/>
          <w:bCs/>
        </w:rPr>
        <w:t>japonaise</w:t>
      </w:r>
      <w:r w:rsidRPr="00B75EA4">
        <w:rPr>
          <w:bCs/>
        </w:rPr>
        <w:t xml:space="preserve"> a fortement ralenti au deuxième trimestre, pénalisée par la faiblesse des exportations, plombée par un yen en hausse et des investissements en retrait.  Ainsi, le PIB s’établirait à 0,3% en 2016 contre 0,5% en 2015.</w:t>
      </w:r>
    </w:p>
    <w:p w:rsidR="008F715D" w:rsidRPr="00B75EA4" w:rsidRDefault="008F715D" w:rsidP="008F715D">
      <w:pPr>
        <w:spacing w:after="240"/>
        <w:jc w:val="both"/>
      </w:pPr>
      <w:r w:rsidRPr="00B75EA4">
        <w:t>La croissance économique de la</w:t>
      </w:r>
      <w:r w:rsidRPr="00B75EA4">
        <w:rPr>
          <w:b/>
        </w:rPr>
        <w:t xml:space="preserve"> Zone euro </w:t>
      </w:r>
      <w:r w:rsidRPr="00B75EA4">
        <w:t>a de nouveau décéléré au deuxième trimestre 2016. Après avoir progressé de 0,6% au trimestre précédent, le PIB a ralenti à 0,3%.</w:t>
      </w:r>
    </w:p>
    <w:p w:rsidR="008F715D" w:rsidRPr="00B75EA4" w:rsidRDefault="008F715D" w:rsidP="008F715D">
      <w:pPr>
        <w:spacing w:after="240"/>
        <w:jc w:val="both"/>
      </w:pPr>
      <w:r w:rsidRPr="00B75EA4">
        <w:t>Cette évolution s’explique par l’atonie de la consommation des ménages, entretenue par les incertitudes liées au Brexit malgré une contribution positive du commerce extérieur. Sur l’année, l’expansion serait de 1,6% en 2016 contre 1,7% en 2015.</w:t>
      </w:r>
    </w:p>
    <w:p w:rsidR="008F715D" w:rsidRPr="00B75EA4" w:rsidRDefault="008F715D" w:rsidP="008F715D">
      <w:pPr>
        <w:spacing w:after="240"/>
        <w:jc w:val="both"/>
      </w:pPr>
      <w:r w:rsidRPr="00B75EA4">
        <w:lastRenderedPageBreak/>
        <w:t>Principale moteur économique de l’Europe, l’</w:t>
      </w:r>
      <w:r w:rsidRPr="00B75EA4">
        <w:rPr>
          <w:b/>
        </w:rPr>
        <w:t>Allemagne</w:t>
      </w:r>
      <w:r w:rsidRPr="00B75EA4">
        <w:t xml:space="preserve"> a réalisé une croissance de 0,4% au deuxième trimestre contre 0,7% au premier, la bonne tenue du commerce extérieure et de la demande expliquerait cette évolution. Une croissance de 1,6% est projetée pour l’année 2016.</w:t>
      </w:r>
    </w:p>
    <w:p w:rsidR="008F715D" w:rsidRPr="00B75EA4" w:rsidRDefault="008F715D" w:rsidP="008F715D">
      <w:pPr>
        <w:spacing w:after="240"/>
        <w:jc w:val="both"/>
      </w:pPr>
      <w:r w:rsidRPr="00B75EA4">
        <w:t xml:space="preserve">En </w:t>
      </w:r>
      <w:r w:rsidRPr="00B75EA4">
        <w:rPr>
          <w:b/>
        </w:rPr>
        <w:t>France</w:t>
      </w:r>
      <w:r w:rsidRPr="00B75EA4">
        <w:t>, après  une croissance trimestrielle de 0,7%  au premier trimestre, celle-ci  a été nulle (0,0%) au deuxième. La grève des raffineries qui a pénalisé  l’activité économique de ce pays serait à l’origine de cette contre performance. Suivant la même tendance, les investissements ont  reculé de 0,3% et la consommation des ménages a stagné (0%) au cours de la période. Seul le commerce extérieur est parvenu à se hisser avec une progression de 0,3%. En rythme annuel, l’activité économique générerait 1,5% de croissance en 2016.</w:t>
      </w:r>
    </w:p>
    <w:p w:rsidR="008F715D" w:rsidRPr="00B75EA4" w:rsidRDefault="008F715D" w:rsidP="008F715D">
      <w:pPr>
        <w:spacing w:after="240"/>
        <w:jc w:val="both"/>
      </w:pPr>
      <w:r w:rsidRPr="00B75EA4">
        <w:rPr>
          <w:b/>
        </w:rPr>
        <w:t>L’Italie et l’Espagne</w:t>
      </w:r>
      <w:r w:rsidRPr="00B75EA4">
        <w:t xml:space="preserve"> ont enregistré des taux de croissance respectifs de 0,0% et 0,7% au deuxième trimestre. Le fléchissement important de demande intérieure en Italie a pénalisé l’économie. En moyenne annuelle, la croissance s’établirait respectivement à 0,9% et 2,6%.</w:t>
      </w:r>
    </w:p>
    <w:p w:rsidR="008F715D" w:rsidRPr="00B75EA4" w:rsidRDefault="008F715D" w:rsidP="008F715D">
      <w:pPr>
        <w:spacing w:after="240"/>
        <w:jc w:val="both"/>
      </w:pPr>
      <w:r w:rsidRPr="00B75EA4">
        <w:t xml:space="preserve">Hors zone euro, le </w:t>
      </w:r>
      <w:r w:rsidRPr="00B75EA4">
        <w:rPr>
          <w:b/>
        </w:rPr>
        <w:t>Royaume-Uni</w:t>
      </w:r>
      <w:r w:rsidRPr="00B75EA4">
        <w:t xml:space="preserve"> a affiché un taux de croissance de 0,6% au deuxième trimestre contre 0,4% au premier, en rapport avec une production industrielle solide. En moyenne annuelle, la croissance projetée  pour 2016 est de 1,7%.</w:t>
      </w:r>
    </w:p>
    <w:p w:rsidR="008F715D" w:rsidRDefault="008F715D" w:rsidP="008F715D">
      <w:pPr>
        <w:pStyle w:val="Titre2"/>
        <w:keepLines/>
        <w:shd w:val="clear" w:color="auto" w:fill="FFFFFF"/>
        <w:spacing w:before="120" w:after="120" w:line="276" w:lineRule="auto"/>
        <w:rPr>
          <w:b/>
          <w:bCs/>
          <w:i w:val="0"/>
          <w:color w:val="0000FF"/>
          <w:sz w:val="24"/>
        </w:rPr>
      </w:pPr>
      <w:bookmarkStart w:id="8" w:name="_Toc462990801"/>
      <w:r>
        <w:rPr>
          <w:b/>
          <w:bCs/>
          <w:i w:val="0"/>
          <w:color w:val="0000FF"/>
          <w:sz w:val="24"/>
        </w:rPr>
        <w:t>I.2</w:t>
      </w:r>
      <w:r w:rsidRPr="00A52E27">
        <w:rPr>
          <w:b/>
          <w:bCs/>
          <w:i w:val="0"/>
          <w:color w:val="0000FF"/>
          <w:sz w:val="24"/>
        </w:rPr>
        <w:t xml:space="preserve"> LA CONJONCTURE DANS LES PAYS EMERGENTS ET EN DEVELOPPEMENT</w:t>
      </w:r>
      <w:bookmarkEnd w:id="8"/>
    </w:p>
    <w:p w:rsidR="008F715D" w:rsidRPr="00B75EA4" w:rsidRDefault="008F715D" w:rsidP="008F715D">
      <w:pPr>
        <w:spacing w:after="240"/>
        <w:jc w:val="both"/>
      </w:pPr>
      <w:r w:rsidRPr="00B75EA4">
        <w:t>Au cours du premier semestre, l’évolution de la situation économique d’ensemble  des pays émergents et en développement a été contrastée. La situation a semblé en nette amélioration en chine, au Brésil, en Inde et en Russie, du fait respectivement d’une politique budgétaire expansionniste, du regain de la confiance des ménages et des entreprises, mais aussi de la remontée des cours du pétrole. A contrario, l’économie s’est détériorée à nouveau au Nigéria, en Arabie saoudite et en Afrique du sud. Le PIB atteindrait 4,1% en 2016 pour l’ensemble de la zone.</w:t>
      </w:r>
    </w:p>
    <w:p w:rsidR="008F715D" w:rsidRPr="00B75EA4" w:rsidRDefault="008F715D" w:rsidP="008F715D">
      <w:pPr>
        <w:pStyle w:val="NormalWeb"/>
        <w:spacing w:before="0" w:beforeAutospacing="0" w:after="240" w:afterAutospacing="0"/>
        <w:jc w:val="both"/>
      </w:pPr>
      <w:r w:rsidRPr="00B75EA4">
        <w:t xml:space="preserve">En Asie, l’économie </w:t>
      </w:r>
      <w:r w:rsidRPr="00B75EA4">
        <w:rPr>
          <w:b/>
        </w:rPr>
        <w:t>chinoise</w:t>
      </w:r>
      <w:r w:rsidRPr="00B75EA4">
        <w:t xml:space="preserve"> a cru de 6,7% au deuxième trimestre, un taux inchangé par rapport au trimestre précédent. Un marché immobilier porteur et des mesures de relance du gouvernement expliquent cette évolution. En 2016, la croissance du PIB serait de 6,6%. En Inde, les perspectives de croissances sont demeurées positives avec une prévision de 7,4% de croissance en 2016.</w:t>
      </w:r>
    </w:p>
    <w:p w:rsidR="008F715D" w:rsidRPr="00B75EA4" w:rsidRDefault="008F715D" w:rsidP="008F715D">
      <w:pPr>
        <w:shd w:val="clear" w:color="auto" w:fill="FFFFFF"/>
        <w:spacing w:after="240"/>
        <w:jc w:val="both"/>
      </w:pPr>
      <w:r w:rsidRPr="00B75EA4">
        <w:t>L'économie</w:t>
      </w:r>
      <w:r w:rsidRPr="00B75EA4">
        <w:rPr>
          <w:b/>
        </w:rPr>
        <w:t xml:space="preserve"> russe</w:t>
      </w:r>
      <w:r w:rsidRPr="00B75EA4">
        <w:t xml:space="preserve">  resterait en récession  en 2016 avec une  croissance négative de -1,2%.  Toutefois, la remontée des cours du pétrole indique de meilleures perspectives à moyen terme. </w:t>
      </w:r>
    </w:p>
    <w:p w:rsidR="008F715D" w:rsidRPr="00B75EA4" w:rsidRDefault="008F715D" w:rsidP="008F715D">
      <w:pPr>
        <w:shd w:val="clear" w:color="auto" w:fill="FFFFFF"/>
        <w:spacing w:after="240"/>
        <w:jc w:val="both"/>
      </w:pPr>
      <w:r w:rsidRPr="00B75EA4">
        <w:t xml:space="preserve">La situation économique en </w:t>
      </w:r>
      <w:r w:rsidRPr="00B75EA4">
        <w:rPr>
          <w:b/>
        </w:rPr>
        <w:t>Amérique latine</w:t>
      </w:r>
      <w:r w:rsidRPr="00B75EA4">
        <w:t xml:space="preserve"> reste préoccupante, néanmoins des signaux positifs annoncent une amélioration au Brésil. Dans ce pays, première économie de la zone, la confiance des ménages et des entreprises est de retour et favorise une reprise de l’activité. Ainsi, quoique négative (-3,3%) en 2016, la croissance économique du Brésil serait en nette amélioration et le pays pourrait sortir de la récession dès l’année prochaine. Au Mexique, l’activité fortement tributaire des échanges avec les Etats-Unis d’Amérique est demeurée dans une dynamique de croissance.  Ainsi, celle-ci serait de 2,5% en 2016.</w:t>
      </w:r>
    </w:p>
    <w:p w:rsidR="008F715D" w:rsidRPr="00B75EA4" w:rsidRDefault="008F715D" w:rsidP="008F715D">
      <w:pPr>
        <w:autoSpaceDE w:val="0"/>
        <w:autoSpaceDN w:val="0"/>
        <w:adjustRightInd w:val="0"/>
        <w:spacing w:after="240"/>
        <w:jc w:val="both"/>
      </w:pPr>
      <w:r w:rsidRPr="00B75EA4">
        <w:t xml:space="preserve">En dépit, des difficultés liées à des transitions internes difficiles sur les plans économique et politique, les pays du </w:t>
      </w:r>
      <w:r w:rsidRPr="00B75EA4">
        <w:rPr>
          <w:b/>
        </w:rPr>
        <w:t>Moyen-Orient</w:t>
      </w:r>
      <w:r w:rsidRPr="00B75EA4">
        <w:t xml:space="preserve"> et de l’</w:t>
      </w:r>
      <w:r w:rsidRPr="00B75EA4">
        <w:rPr>
          <w:b/>
        </w:rPr>
        <w:t>Afrique du Nord</w:t>
      </w:r>
      <w:r w:rsidRPr="00B75EA4">
        <w:t xml:space="preserve"> enregistreraient une croissance du PIB de à 3,4% en 2016 contre 2,3% en 2015.</w:t>
      </w:r>
    </w:p>
    <w:p w:rsidR="008F715D" w:rsidRDefault="008F715D" w:rsidP="008F715D">
      <w:pPr>
        <w:autoSpaceDE w:val="0"/>
        <w:autoSpaceDN w:val="0"/>
        <w:adjustRightInd w:val="0"/>
        <w:spacing w:after="240"/>
        <w:jc w:val="both"/>
      </w:pPr>
      <w:r w:rsidRPr="00B75EA4">
        <w:lastRenderedPageBreak/>
        <w:t xml:space="preserve">Les perspectives économiques de </w:t>
      </w:r>
      <w:r w:rsidRPr="00B75EA4">
        <w:rPr>
          <w:b/>
        </w:rPr>
        <w:t>l’Afrique subsaharienne</w:t>
      </w:r>
      <w:r w:rsidRPr="00B75EA4">
        <w:t xml:space="preserve"> à court et moyen terme se sont détériorées. La région n’enregistrerait qu’une expansion modeste de 1,6% en 2016. La conjoncture baissière des matières premières  a fortement affecté l’économie nigériane qui serait en récession en 2016, avec -1,8% de croissance du PIB, tandis qu’en Afrique du sud, l’économie serait en décrochage avec une projection de croissance modeste de 0,1%.</w:t>
      </w:r>
      <w:r>
        <w:br w:type="page"/>
      </w:r>
    </w:p>
    <w:p w:rsidR="008F715D" w:rsidRPr="00E9774B" w:rsidRDefault="008F715D" w:rsidP="008F715D">
      <w:pPr>
        <w:pStyle w:val="Titre1"/>
        <w:keepLines/>
        <w:pBdr>
          <w:top w:val="single" w:sz="4" w:space="1" w:color="31849B"/>
          <w:bottom w:val="double" w:sz="4" w:space="1" w:color="auto"/>
        </w:pBdr>
        <w:shd w:val="clear" w:color="auto" w:fill="DAEEF3"/>
        <w:spacing w:before="480" w:after="240" w:line="276" w:lineRule="auto"/>
        <w:rPr>
          <w:color w:val="0000FF"/>
          <w:szCs w:val="28"/>
        </w:rPr>
      </w:pPr>
      <w:bookmarkStart w:id="9" w:name="_Toc436475045"/>
      <w:bookmarkStart w:id="10" w:name="_Toc453833411"/>
      <w:bookmarkStart w:id="11" w:name="_Toc462990802"/>
      <w:r w:rsidRPr="00E9774B">
        <w:rPr>
          <w:color w:val="0000FF"/>
          <w:szCs w:val="28"/>
        </w:rPr>
        <w:lastRenderedPageBreak/>
        <w:t>DEUXIEME PARTIE : L’ACTIVITE NATIONALE A FIN JUIN 201</w:t>
      </w:r>
      <w:bookmarkEnd w:id="9"/>
      <w:r w:rsidRPr="00E9774B">
        <w:rPr>
          <w:color w:val="0000FF"/>
          <w:szCs w:val="28"/>
        </w:rPr>
        <w:t>6</w:t>
      </w:r>
      <w:bookmarkEnd w:id="10"/>
      <w:bookmarkEnd w:id="11"/>
    </w:p>
    <w:p w:rsidR="008F715D" w:rsidRPr="00D149B6" w:rsidRDefault="008F715D" w:rsidP="008F715D">
      <w:pPr>
        <w:rPr>
          <w:rFonts w:eastAsia="Calibri"/>
        </w:rPr>
      </w:pPr>
    </w:p>
    <w:p w:rsidR="008F715D" w:rsidRPr="00E9774B" w:rsidRDefault="008F715D" w:rsidP="008F715D">
      <w:pPr>
        <w:pStyle w:val="Titre1"/>
        <w:keepLines/>
        <w:pBdr>
          <w:top w:val="single" w:sz="4" w:space="1" w:color="31849B" w:themeColor="accent5" w:themeShade="BF"/>
          <w:bottom w:val="double" w:sz="4" w:space="1" w:color="auto"/>
        </w:pBdr>
        <w:shd w:val="clear" w:color="auto" w:fill="DAEEF3" w:themeFill="accent5" w:themeFillTint="33"/>
        <w:rPr>
          <w:color w:val="0000FF"/>
          <w:szCs w:val="28"/>
        </w:rPr>
      </w:pPr>
      <w:bookmarkStart w:id="12" w:name="_Toc356891297"/>
      <w:bookmarkStart w:id="13" w:name="_Toc389653124"/>
      <w:bookmarkStart w:id="14" w:name="_Toc389653352"/>
      <w:bookmarkStart w:id="15" w:name="_Toc420027506"/>
      <w:bookmarkStart w:id="16" w:name="_Toc462990803"/>
      <w:r w:rsidRPr="00E9774B">
        <w:rPr>
          <w:color w:val="0000FF"/>
          <w:szCs w:val="28"/>
        </w:rPr>
        <w:t>I</w:t>
      </w:r>
      <w:r>
        <w:rPr>
          <w:color w:val="0000FF"/>
          <w:szCs w:val="28"/>
        </w:rPr>
        <w:t>I</w:t>
      </w:r>
      <w:r w:rsidRPr="00E9774B">
        <w:rPr>
          <w:color w:val="0000FF"/>
          <w:szCs w:val="28"/>
        </w:rPr>
        <w:t xml:space="preserve">. LES </w:t>
      </w:r>
      <w:r w:rsidRPr="00E9774B">
        <w:rPr>
          <w:bCs w:val="0"/>
          <w:color w:val="0000FF"/>
          <w:szCs w:val="28"/>
        </w:rPr>
        <w:t xml:space="preserve">EVOLUTIONS SECTORIELLES </w:t>
      </w:r>
      <w:bookmarkEnd w:id="12"/>
      <w:bookmarkEnd w:id="13"/>
      <w:bookmarkEnd w:id="14"/>
      <w:r w:rsidRPr="00E9774B">
        <w:rPr>
          <w:bCs w:val="0"/>
          <w:color w:val="0000FF"/>
          <w:szCs w:val="28"/>
        </w:rPr>
        <w:t>A FIN JUIN 201</w:t>
      </w:r>
      <w:bookmarkEnd w:id="15"/>
      <w:r w:rsidRPr="00E9774B">
        <w:rPr>
          <w:bCs w:val="0"/>
          <w:color w:val="0000FF"/>
          <w:szCs w:val="28"/>
        </w:rPr>
        <w:t>6</w:t>
      </w:r>
      <w:bookmarkEnd w:id="16"/>
    </w:p>
    <w:p w:rsidR="008F715D" w:rsidRDefault="008F715D" w:rsidP="008F715D">
      <w:pPr>
        <w:pStyle w:val="Titre2"/>
        <w:keepLines/>
        <w:shd w:val="clear" w:color="auto" w:fill="FFFFFF" w:themeFill="background1"/>
        <w:spacing w:before="120" w:after="120" w:line="276" w:lineRule="auto"/>
        <w:jc w:val="left"/>
        <w:rPr>
          <w:rFonts w:eastAsiaTheme="majorEastAsia"/>
          <w:b/>
          <w:bCs/>
          <w:i w:val="0"/>
          <w:iCs w:val="0"/>
          <w:color w:val="0000FF"/>
          <w:sz w:val="24"/>
        </w:rPr>
      </w:pPr>
      <w:bookmarkStart w:id="17" w:name="_Toc77665736"/>
      <w:bookmarkStart w:id="18" w:name="_Toc356891298"/>
      <w:bookmarkStart w:id="19" w:name="_Toc389653125"/>
      <w:bookmarkStart w:id="20" w:name="_Toc389653353"/>
      <w:bookmarkStart w:id="21" w:name="_Toc420027507"/>
      <w:bookmarkStart w:id="22" w:name="_Toc462990804"/>
      <w:r w:rsidRPr="00D149B6">
        <w:rPr>
          <w:rFonts w:eastAsiaTheme="majorEastAsia"/>
          <w:b/>
          <w:bCs/>
          <w:i w:val="0"/>
          <w:iCs w:val="0"/>
          <w:color w:val="0000FF"/>
          <w:sz w:val="24"/>
        </w:rPr>
        <w:t>I</w:t>
      </w:r>
      <w:r>
        <w:rPr>
          <w:rFonts w:eastAsiaTheme="majorEastAsia"/>
          <w:b/>
          <w:bCs/>
          <w:i w:val="0"/>
          <w:iCs w:val="0"/>
          <w:color w:val="0000FF"/>
          <w:sz w:val="24"/>
        </w:rPr>
        <w:t>I</w:t>
      </w:r>
      <w:r w:rsidRPr="00D149B6">
        <w:rPr>
          <w:rFonts w:eastAsiaTheme="majorEastAsia"/>
          <w:b/>
          <w:bCs/>
          <w:i w:val="0"/>
          <w:iCs w:val="0"/>
          <w:color w:val="0000FF"/>
          <w:sz w:val="24"/>
        </w:rPr>
        <w:t>.1 Tableau synoptique de l’évolution sectorielle</w:t>
      </w:r>
      <w:bookmarkEnd w:id="17"/>
      <w:r w:rsidRPr="00D149B6">
        <w:rPr>
          <w:rFonts w:eastAsiaTheme="majorEastAsia"/>
          <w:b/>
          <w:bCs/>
          <w:i w:val="0"/>
          <w:iCs w:val="0"/>
          <w:color w:val="0000FF"/>
          <w:sz w:val="24"/>
        </w:rPr>
        <w:t xml:space="preserve"> à fin </w:t>
      </w:r>
      <w:bookmarkEnd w:id="18"/>
      <w:bookmarkEnd w:id="19"/>
      <w:bookmarkEnd w:id="20"/>
      <w:r>
        <w:rPr>
          <w:rFonts w:eastAsiaTheme="majorEastAsia"/>
          <w:b/>
          <w:bCs/>
          <w:i w:val="0"/>
          <w:iCs w:val="0"/>
          <w:color w:val="0000FF"/>
          <w:sz w:val="24"/>
        </w:rPr>
        <w:t>juin</w:t>
      </w:r>
      <w:r w:rsidRPr="00D149B6">
        <w:rPr>
          <w:rFonts w:eastAsiaTheme="majorEastAsia"/>
          <w:b/>
          <w:bCs/>
          <w:i w:val="0"/>
          <w:iCs w:val="0"/>
          <w:color w:val="0000FF"/>
          <w:sz w:val="24"/>
        </w:rPr>
        <w:t xml:space="preserve"> 201</w:t>
      </w:r>
      <w:bookmarkEnd w:id="21"/>
      <w:r w:rsidRPr="00D149B6">
        <w:rPr>
          <w:rFonts w:eastAsiaTheme="majorEastAsia"/>
          <w:b/>
          <w:bCs/>
          <w:i w:val="0"/>
          <w:iCs w:val="0"/>
          <w:color w:val="0000FF"/>
          <w:sz w:val="24"/>
        </w:rPr>
        <w:t>6</w:t>
      </w:r>
      <w:bookmarkEnd w:id="22"/>
    </w:p>
    <w:p w:rsidR="008F715D" w:rsidRPr="00F55872" w:rsidRDefault="008F715D" w:rsidP="008F715D">
      <w:pPr>
        <w:rPr>
          <w:rFonts w:asciiTheme="majorBidi" w:hAnsiTheme="majorBidi" w:cstheme="majorBidi"/>
          <w:sz w:val="12"/>
          <w:szCs w:val="12"/>
        </w:rPr>
      </w:pPr>
      <w:bookmarkStart w:id="23" w:name="_Toc63511783"/>
    </w:p>
    <w:tbl>
      <w:tblPr>
        <w:tblpPr w:leftFromText="141" w:rightFromText="141" w:vertAnchor="text" w:tblpX="58" w:tblpY="1"/>
        <w:tblOverlap w:val="never"/>
        <w:tblW w:w="7820" w:type="dxa"/>
        <w:tblCellMar>
          <w:left w:w="70" w:type="dxa"/>
          <w:right w:w="70" w:type="dxa"/>
        </w:tblCellMar>
        <w:tblLook w:val="04A0"/>
      </w:tblPr>
      <w:tblGrid>
        <w:gridCol w:w="5620"/>
        <w:gridCol w:w="2200"/>
      </w:tblGrid>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1B6262" w:rsidRDefault="008F715D" w:rsidP="002105A0">
            <w:pPr>
              <w:rPr>
                <w:b/>
                <w:bCs/>
                <w:color w:val="000080"/>
              </w:rPr>
            </w:pPr>
            <w:r w:rsidRPr="001B6262">
              <w:rPr>
                <w:b/>
                <w:bCs/>
                <w:color w:val="000080"/>
              </w:rPr>
              <w:t>SECTEURS</w:t>
            </w:r>
          </w:p>
        </w:tc>
        <w:tc>
          <w:tcPr>
            <w:tcW w:w="2200" w:type="dxa"/>
            <w:tcBorders>
              <w:top w:val="nil"/>
              <w:left w:val="nil"/>
              <w:bottom w:val="single" w:sz="8" w:space="0" w:color="auto"/>
              <w:right w:val="nil"/>
            </w:tcBorders>
            <w:shd w:val="pct50" w:color="C0C0C0" w:fill="E2E2E2"/>
            <w:noWrap/>
            <w:vAlign w:val="center"/>
            <w:hideMark/>
          </w:tcPr>
          <w:p w:rsidR="008F715D" w:rsidRPr="001B6262" w:rsidRDefault="008F715D" w:rsidP="002105A0">
            <w:pPr>
              <w:jc w:val="center"/>
              <w:rPr>
                <w:b/>
                <w:bCs/>
                <w:color w:val="000080"/>
              </w:rPr>
            </w:pPr>
            <w:r w:rsidRPr="001B6262">
              <w:rPr>
                <w:b/>
                <w:bCs/>
                <w:color w:val="000080"/>
              </w:rPr>
              <w:t>EVOLUTION</w:t>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1B6262" w:rsidRDefault="008F715D" w:rsidP="002105A0">
            <w:pPr>
              <w:rPr>
                <w:b/>
                <w:bCs/>
                <w:color w:val="008000"/>
              </w:rPr>
            </w:pPr>
            <w:r w:rsidRPr="001B6262">
              <w:rPr>
                <w:b/>
                <w:bCs/>
                <w:color w:val="008000"/>
              </w:rPr>
              <w:t>Secteur primaire</w:t>
            </w:r>
          </w:p>
        </w:tc>
        <w:tc>
          <w:tcPr>
            <w:tcW w:w="2200" w:type="dxa"/>
            <w:tcBorders>
              <w:top w:val="nil"/>
              <w:left w:val="nil"/>
              <w:bottom w:val="single" w:sz="8" w:space="0" w:color="auto"/>
              <w:right w:val="nil"/>
            </w:tcBorders>
            <w:shd w:val="pct50" w:color="C0C0C0" w:fill="E2E2E2"/>
            <w:noWrap/>
            <w:vAlign w:val="center"/>
            <w:hideMark/>
          </w:tcPr>
          <w:p w:rsidR="008F715D" w:rsidRPr="001B6262" w:rsidRDefault="008F715D" w:rsidP="002105A0">
            <w:pPr>
              <w:jc w:val="center"/>
              <w:rPr>
                <w:b/>
                <w:bCs/>
                <w:color w:val="008000"/>
              </w:rPr>
            </w:pP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EB174D" w:rsidRDefault="008F715D" w:rsidP="002105A0">
            <w:pPr>
              <w:rPr>
                <w:b/>
                <w:bCs/>
                <w:color w:val="000000"/>
              </w:rPr>
            </w:pPr>
            <w:r w:rsidRPr="00EB174D">
              <w:rPr>
                <w:b/>
                <w:bCs/>
                <w:color w:val="000000"/>
              </w:rPr>
              <w:t>Pétrole</w:t>
            </w:r>
          </w:p>
        </w:tc>
        <w:tc>
          <w:tcPr>
            <w:tcW w:w="2200" w:type="dxa"/>
            <w:tcBorders>
              <w:top w:val="nil"/>
              <w:left w:val="nil"/>
              <w:bottom w:val="single" w:sz="8" w:space="0" w:color="auto"/>
              <w:right w:val="nil"/>
            </w:tcBorders>
            <w:shd w:val="pct50" w:color="C0C0C0" w:fill="E2E2E2"/>
            <w:noWrap/>
            <w:vAlign w:val="center"/>
            <w:hideMark/>
          </w:tcPr>
          <w:p w:rsidR="008F715D" w:rsidRPr="001B6262" w:rsidRDefault="008F715D" w:rsidP="002105A0">
            <w:pPr>
              <w:jc w:val="center"/>
              <w:rPr>
                <w:rFonts w:ascii="Wingdings" w:hAnsi="Wingdings"/>
                <w:color w:val="000080"/>
                <w:highlight w:val="yellow"/>
              </w:rPr>
            </w:pPr>
            <w:r w:rsidRPr="001C69C5">
              <w:rPr>
                <w:rFonts w:ascii="Wingdings" w:hAnsi="Wingdings"/>
                <w:b/>
                <w:bCs/>
                <w:color w:val="FF0000"/>
              </w:rPr>
              <w:sym w:font="Wingdings" w:char="00EE"/>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1C69C5" w:rsidRDefault="008F715D" w:rsidP="002105A0">
            <w:pPr>
              <w:rPr>
                <w:b/>
                <w:bCs/>
                <w:color w:val="000000"/>
              </w:rPr>
            </w:pPr>
            <w:r w:rsidRPr="001C69C5">
              <w:rPr>
                <w:b/>
                <w:bCs/>
                <w:color w:val="000000"/>
              </w:rPr>
              <w:t>Manganèse</w:t>
            </w:r>
          </w:p>
        </w:tc>
        <w:tc>
          <w:tcPr>
            <w:tcW w:w="2200" w:type="dxa"/>
            <w:tcBorders>
              <w:top w:val="nil"/>
              <w:left w:val="nil"/>
              <w:bottom w:val="single" w:sz="8" w:space="0" w:color="auto"/>
              <w:right w:val="nil"/>
            </w:tcBorders>
            <w:shd w:val="pct50" w:color="C0C0C0" w:fill="E2E2E2"/>
            <w:noWrap/>
            <w:vAlign w:val="center"/>
            <w:hideMark/>
          </w:tcPr>
          <w:p w:rsidR="008F715D" w:rsidRPr="001C69C5" w:rsidRDefault="008F715D" w:rsidP="002105A0">
            <w:pPr>
              <w:jc w:val="center"/>
              <w:rPr>
                <w:rFonts w:ascii="Wingdings" w:hAnsi="Wingdings"/>
                <w:b/>
                <w:bCs/>
                <w:color w:val="FF0000"/>
              </w:rPr>
            </w:pPr>
            <w:r w:rsidRPr="001C69C5">
              <w:rPr>
                <w:rFonts w:ascii="Wingdings" w:hAnsi="Wingdings"/>
                <w:b/>
                <w:bCs/>
                <w:color w:val="FF0000"/>
              </w:rPr>
              <w:sym w:font="Wingdings" w:char="00EE"/>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6D2D96" w:rsidRDefault="008F715D" w:rsidP="002105A0">
            <w:pPr>
              <w:rPr>
                <w:b/>
                <w:bCs/>
                <w:color w:val="000000"/>
              </w:rPr>
            </w:pPr>
            <w:r w:rsidRPr="006D2D96">
              <w:rPr>
                <w:b/>
                <w:bCs/>
                <w:color w:val="000000"/>
              </w:rPr>
              <w:t>Or</w:t>
            </w:r>
          </w:p>
        </w:tc>
        <w:tc>
          <w:tcPr>
            <w:tcW w:w="2200" w:type="dxa"/>
            <w:tcBorders>
              <w:top w:val="nil"/>
              <w:left w:val="nil"/>
              <w:bottom w:val="single" w:sz="8" w:space="0" w:color="auto"/>
              <w:right w:val="nil"/>
            </w:tcBorders>
            <w:shd w:val="pct50" w:color="C0C0C0" w:fill="E2E2E2"/>
            <w:noWrap/>
            <w:vAlign w:val="center"/>
            <w:hideMark/>
          </w:tcPr>
          <w:p w:rsidR="008F715D" w:rsidRPr="006D2D96" w:rsidRDefault="008F715D" w:rsidP="002105A0">
            <w:pPr>
              <w:jc w:val="center"/>
              <w:rPr>
                <w:rFonts w:ascii="Wingdings" w:hAnsi="Wingdings"/>
                <w:b/>
                <w:bCs/>
                <w:color w:val="FF0000"/>
              </w:rPr>
            </w:pPr>
            <w:r w:rsidRPr="006D2D96">
              <w:rPr>
                <w:rFonts w:ascii="Wingdings" w:hAnsi="Wingdings"/>
                <w:b/>
                <w:bCs/>
                <w:color w:val="FF0000"/>
              </w:rPr>
              <w:sym w:font="Wingdings" w:char="00EE"/>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1B6262" w:rsidRDefault="008F715D" w:rsidP="002105A0">
            <w:pPr>
              <w:rPr>
                <w:b/>
                <w:bCs/>
                <w:color w:val="000000"/>
              </w:rPr>
            </w:pPr>
            <w:r w:rsidRPr="001B6262">
              <w:rPr>
                <w:b/>
                <w:bCs/>
                <w:color w:val="000000"/>
              </w:rPr>
              <w:t>Exploitation forestière</w:t>
            </w:r>
          </w:p>
        </w:tc>
        <w:tc>
          <w:tcPr>
            <w:tcW w:w="2200" w:type="dxa"/>
            <w:tcBorders>
              <w:top w:val="nil"/>
              <w:left w:val="nil"/>
              <w:bottom w:val="single" w:sz="8" w:space="0" w:color="auto"/>
              <w:right w:val="nil"/>
            </w:tcBorders>
            <w:shd w:val="pct50" w:color="C0C0C0" w:fill="E2E2E2"/>
            <w:noWrap/>
            <w:vAlign w:val="center"/>
            <w:hideMark/>
          </w:tcPr>
          <w:p w:rsidR="008F715D" w:rsidRPr="001B6262" w:rsidRDefault="008F715D" w:rsidP="002105A0">
            <w:pPr>
              <w:jc w:val="center"/>
              <w:rPr>
                <w:rFonts w:ascii="Wingdings" w:hAnsi="Wingdings"/>
                <w:color w:val="000080"/>
              </w:rPr>
            </w:pPr>
            <w:r w:rsidRPr="001B6262">
              <w:rPr>
                <w:rFonts w:ascii="Wingdings" w:hAnsi="Wingdings"/>
                <w:color w:val="000080"/>
              </w:rPr>
              <w:sym w:font="Wingdings" w:char="00EC"/>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1B6262" w:rsidRDefault="008F715D" w:rsidP="002105A0">
            <w:pPr>
              <w:rPr>
                <w:b/>
                <w:bCs/>
                <w:color w:val="000000"/>
              </w:rPr>
            </w:pPr>
            <w:r w:rsidRPr="001B6262">
              <w:rPr>
                <w:b/>
                <w:bCs/>
                <w:color w:val="000000"/>
              </w:rPr>
              <w:t>Agriculture et élevage</w:t>
            </w:r>
          </w:p>
        </w:tc>
        <w:tc>
          <w:tcPr>
            <w:tcW w:w="2200" w:type="dxa"/>
            <w:tcBorders>
              <w:top w:val="nil"/>
              <w:left w:val="nil"/>
              <w:bottom w:val="single" w:sz="8" w:space="0" w:color="auto"/>
              <w:right w:val="nil"/>
            </w:tcBorders>
            <w:shd w:val="pct50" w:color="C0C0C0" w:fill="E2E2E2"/>
            <w:noWrap/>
            <w:vAlign w:val="center"/>
            <w:hideMark/>
          </w:tcPr>
          <w:p w:rsidR="008F715D" w:rsidRPr="001B6262" w:rsidRDefault="008F715D" w:rsidP="002105A0">
            <w:pPr>
              <w:jc w:val="center"/>
              <w:rPr>
                <w:b/>
                <w:bCs/>
                <w:color w:val="FF0000"/>
              </w:rPr>
            </w:pP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395B87" w:rsidRDefault="008F715D" w:rsidP="002105A0">
            <w:pPr>
              <w:ind w:firstLine="426"/>
              <w:rPr>
                <w:b/>
                <w:bCs/>
                <w:i/>
                <w:iCs/>
                <w:color w:val="000000"/>
              </w:rPr>
            </w:pPr>
            <w:r w:rsidRPr="00395B87">
              <w:rPr>
                <w:b/>
                <w:bCs/>
                <w:i/>
                <w:iCs/>
                <w:color w:val="000000"/>
              </w:rPr>
              <w:t>Caoutchouc naturel</w:t>
            </w:r>
          </w:p>
        </w:tc>
        <w:tc>
          <w:tcPr>
            <w:tcW w:w="2200" w:type="dxa"/>
            <w:tcBorders>
              <w:top w:val="nil"/>
              <w:left w:val="nil"/>
              <w:bottom w:val="single" w:sz="8" w:space="0" w:color="auto"/>
              <w:right w:val="nil"/>
            </w:tcBorders>
            <w:shd w:val="pct50" w:color="C0C0C0" w:fill="E2E2E2"/>
            <w:noWrap/>
            <w:vAlign w:val="center"/>
            <w:hideMark/>
          </w:tcPr>
          <w:p w:rsidR="008F715D" w:rsidRPr="00395B87" w:rsidRDefault="008F715D" w:rsidP="002105A0">
            <w:pPr>
              <w:jc w:val="center"/>
              <w:rPr>
                <w:rFonts w:ascii="Wingdings" w:hAnsi="Wingdings"/>
                <w:b/>
                <w:bCs/>
                <w:color w:val="FF0000"/>
              </w:rPr>
            </w:pPr>
            <w:r w:rsidRPr="00395B87">
              <w:rPr>
                <w:rFonts w:ascii="Wingdings" w:hAnsi="Wingdings"/>
                <w:b/>
                <w:bCs/>
                <w:color w:val="FF0000"/>
              </w:rPr>
              <w:sym w:font="Wingdings" w:char="00EE"/>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D36971" w:rsidRDefault="008F715D" w:rsidP="002105A0">
            <w:pPr>
              <w:ind w:firstLine="426"/>
              <w:rPr>
                <w:b/>
                <w:bCs/>
                <w:i/>
                <w:iCs/>
                <w:color w:val="000000"/>
              </w:rPr>
            </w:pPr>
            <w:r w:rsidRPr="00D36971">
              <w:rPr>
                <w:b/>
                <w:bCs/>
                <w:i/>
                <w:iCs/>
                <w:color w:val="000000"/>
              </w:rPr>
              <w:t>Elevage</w:t>
            </w:r>
          </w:p>
        </w:tc>
        <w:tc>
          <w:tcPr>
            <w:tcW w:w="2200" w:type="dxa"/>
            <w:tcBorders>
              <w:top w:val="nil"/>
              <w:left w:val="nil"/>
              <w:bottom w:val="single" w:sz="8" w:space="0" w:color="auto"/>
              <w:right w:val="nil"/>
            </w:tcBorders>
            <w:shd w:val="pct50" w:color="C0C0C0" w:fill="E2E2E2"/>
            <w:noWrap/>
            <w:vAlign w:val="center"/>
            <w:hideMark/>
          </w:tcPr>
          <w:p w:rsidR="008F715D" w:rsidRPr="00D36971" w:rsidRDefault="008F715D" w:rsidP="002105A0">
            <w:pPr>
              <w:jc w:val="center"/>
              <w:rPr>
                <w:rFonts w:ascii="Wingdings" w:hAnsi="Wingdings"/>
                <w:b/>
                <w:bCs/>
                <w:color w:val="FF0000"/>
              </w:rPr>
            </w:pPr>
            <w:r w:rsidRPr="00D36971">
              <w:rPr>
                <w:rFonts w:ascii="Wingdings" w:hAnsi="Wingdings"/>
                <w:b/>
                <w:bCs/>
                <w:color w:val="FF0000"/>
              </w:rPr>
              <w:sym w:font="Wingdings" w:char="00EE"/>
            </w:r>
          </w:p>
        </w:tc>
      </w:tr>
      <w:tr w:rsidR="008F715D" w:rsidRPr="00F5587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F55872" w:rsidRDefault="008F715D" w:rsidP="002105A0">
            <w:pPr>
              <w:rPr>
                <w:b/>
                <w:bCs/>
                <w:color w:val="008000"/>
              </w:rPr>
            </w:pPr>
            <w:r w:rsidRPr="00F55872">
              <w:rPr>
                <w:b/>
                <w:bCs/>
                <w:color w:val="008000"/>
              </w:rPr>
              <w:t>Secteur secondaire</w:t>
            </w:r>
          </w:p>
        </w:tc>
        <w:tc>
          <w:tcPr>
            <w:tcW w:w="2200" w:type="dxa"/>
            <w:tcBorders>
              <w:top w:val="nil"/>
              <w:left w:val="nil"/>
              <w:bottom w:val="single" w:sz="8" w:space="0" w:color="auto"/>
              <w:right w:val="nil"/>
            </w:tcBorders>
            <w:shd w:val="pct50" w:color="C0C0C0" w:fill="E2E2E2"/>
            <w:noWrap/>
            <w:vAlign w:val="center"/>
            <w:hideMark/>
          </w:tcPr>
          <w:p w:rsidR="008F715D" w:rsidRPr="00F55872" w:rsidRDefault="008F715D" w:rsidP="002105A0">
            <w:pPr>
              <w:jc w:val="center"/>
              <w:rPr>
                <w:b/>
                <w:bCs/>
                <w:color w:val="008000"/>
              </w:rPr>
            </w:pPr>
          </w:p>
        </w:tc>
      </w:tr>
      <w:tr w:rsidR="008F715D" w:rsidRPr="00F5587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F55872" w:rsidRDefault="008F715D" w:rsidP="002105A0">
            <w:pPr>
              <w:rPr>
                <w:b/>
                <w:bCs/>
                <w:color w:val="000000"/>
              </w:rPr>
            </w:pPr>
            <w:r w:rsidRPr="00F55872">
              <w:rPr>
                <w:b/>
                <w:bCs/>
                <w:color w:val="000000"/>
              </w:rPr>
              <w:t>Industries agro-alimentaires, boissons</w:t>
            </w:r>
          </w:p>
        </w:tc>
        <w:tc>
          <w:tcPr>
            <w:tcW w:w="2200" w:type="dxa"/>
            <w:tcBorders>
              <w:top w:val="nil"/>
              <w:left w:val="nil"/>
              <w:bottom w:val="single" w:sz="8" w:space="0" w:color="auto"/>
              <w:right w:val="nil"/>
            </w:tcBorders>
            <w:shd w:val="pct50" w:color="C0C0C0" w:fill="E2E2E2"/>
            <w:noWrap/>
            <w:vAlign w:val="center"/>
            <w:hideMark/>
          </w:tcPr>
          <w:p w:rsidR="008F715D" w:rsidRPr="00F55872" w:rsidRDefault="008F715D" w:rsidP="002105A0">
            <w:pPr>
              <w:jc w:val="center"/>
              <w:rPr>
                <w:color w:val="000080"/>
              </w:rPr>
            </w:pP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EB174D" w:rsidRDefault="008F715D" w:rsidP="002105A0">
            <w:pPr>
              <w:ind w:firstLine="368"/>
              <w:rPr>
                <w:b/>
                <w:bCs/>
                <w:i/>
                <w:iCs/>
                <w:color w:val="000000"/>
              </w:rPr>
            </w:pPr>
            <w:r w:rsidRPr="00EB174D">
              <w:rPr>
                <w:b/>
                <w:bCs/>
                <w:i/>
                <w:iCs/>
                <w:color w:val="000000"/>
              </w:rPr>
              <w:t>Production meunière et avicole</w:t>
            </w:r>
          </w:p>
        </w:tc>
        <w:tc>
          <w:tcPr>
            <w:tcW w:w="2200" w:type="dxa"/>
            <w:tcBorders>
              <w:top w:val="nil"/>
              <w:left w:val="nil"/>
              <w:bottom w:val="single" w:sz="8" w:space="0" w:color="auto"/>
              <w:right w:val="nil"/>
            </w:tcBorders>
            <w:shd w:val="pct50" w:color="C0C0C0" w:fill="E2E2E2"/>
            <w:noWrap/>
            <w:vAlign w:val="center"/>
            <w:hideMark/>
          </w:tcPr>
          <w:p w:rsidR="008F715D" w:rsidRPr="00EB174D" w:rsidRDefault="008F715D" w:rsidP="002105A0">
            <w:pPr>
              <w:jc w:val="center"/>
              <w:rPr>
                <w:rFonts w:ascii="Wingdings" w:hAnsi="Wingdings"/>
                <w:color w:val="000080"/>
              </w:rPr>
            </w:pPr>
            <w:r w:rsidRPr="00EB174D">
              <w:rPr>
                <w:rFonts w:ascii="Wingdings" w:hAnsi="Wingdings"/>
                <w:color w:val="000080"/>
              </w:rPr>
              <w:sym w:font="Wingdings" w:char="00EC"/>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6D2D96" w:rsidRDefault="008F715D" w:rsidP="002105A0">
            <w:pPr>
              <w:ind w:firstLine="368"/>
              <w:rPr>
                <w:b/>
                <w:bCs/>
                <w:i/>
                <w:iCs/>
                <w:color w:val="000000"/>
              </w:rPr>
            </w:pPr>
            <w:r w:rsidRPr="006D2D96">
              <w:rPr>
                <w:b/>
                <w:bCs/>
                <w:i/>
                <w:iCs/>
                <w:color w:val="000000"/>
              </w:rPr>
              <w:t>Huiles et corps gras</w:t>
            </w:r>
          </w:p>
        </w:tc>
        <w:tc>
          <w:tcPr>
            <w:tcW w:w="2200" w:type="dxa"/>
            <w:tcBorders>
              <w:top w:val="nil"/>
              <w:left w:val="nil"/>
              <w:bottom w:val="single" w:sz="8" w:space="0" w:color="auto"/>
              <w:right w:val="nil"/>
            </w:tcBorders>
            <w:shd w:val="pct50" w:color="C0C0C0" w:fill="E2E2E2"/>
            <w:noWrap/>
            <w:vAlign w:val="center"/>
            <w:hideMark/>
          </w:tcPr>
          <w:p w:rsidR="008F715D" w:rsidRPr="006D2D96" w:rsidRDefault="008F715D" w:rsidP="002105A0">
            <w:pPr>
              <w:jc w:val="center"/>
              <w:rPr>
                <w:rFonts w:ascii="Wingdings" w:hAnsi="Wingdings"/>
                <w:b/>
                <w:bCs/>
                <w:color w:val="FF0000"/>
              </w:rPr>
            </w:pPr>
            <w:r w:rsidRPr="006D2D96">
              <w:rPr>
                <w:rFonts w:ascii="Wingdings" w:hAnsi="Wingdings"/>
                <w:b/>
                <w:bCs/>
                <w:color w:val="FF0000"/>
              </w:rPr>
              <w:sym w:font="Wingdings" w:char="00EE"/>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550E36" w:rsidRDefault="008F715D" w:rsidP="002105A0">
            <w:pPr>
              <w:ind w:firstLine="368"/>
              <w:rPr>
                <w:b/>
                <w:bCs/>
                <w:i/>
                <w:iCs/>
                <w:color w:val="000000"/>
              </w:rPr>
            </w:pPr>
            <w:r w:rsidRPr="00550E36">
              <w:rPr>
                <w:b/>
                <w:bCs/>
                <w:i/>
                <w:iCs/>
                <w:color w:val="000000"/>
              </w:rPr>
              <w:t>Production sucrière</w:t>
            </w:r>
          </w:p>
        </w:tc>
        <w:tc>
          <w:tcPr>
            <w:tcW w:w="2200" w:type="dxa"/>
            <w:tcBorders>
              <w:top w:val="nil"/>
              <w:left w:val="nil"/>
              <w:bottom w:val="single" w:sz="8" w:space="0" w:color="auto"/>
              <w:right w:val="nil"/>
            </w:tcBorders>
            <w:shd w:val="pct50" w:color="C0C0C0" w:fill="E2E2E2"/>
            <w:noWrap/>
            <w:vAlign w:val="center"/>
            <w:hideMark/>
          </w:tcPr>
          <w:p w:rsidR="008F715D" w:rsidRPr="00550E36" w:rsidRDefault="008F715D" w:rsidP="002105A0">
            <w:pPr>
              <w:jc w:val="center"/>
              <w:rPr>
                <w:rFonts w:ascii="Wingdings" w:hAnsi="Wingdings"/>
                <w:b/>
                <w:bCs/>
                <w:color w:val="FF0000"/>
              </w:rPr>
            </w:pPr>
            <w:r w:rsidRPr="00550E36">
              <w:rPr>
                <w:rFonts w:ascii="Wingdings" w:hAnsi="Wingdings"/>
                <w:b/>
                <w:bCs/>
                <w:color w:val="FF0000"/>
              </w:rPr>
              <w:sym w:font="Wingdings" w:char="00EE"/>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6D2D96" w:rsidRDefault="008F715D" w:rsidP="002105A0">
            <w:pPr>
              <w:ind w:firstLine="368"/>
              <w:rPr>
                <w:b/>
                <w:bCs/>
                <w:i/>
                <w:iCs/>
                <w:color w:val="000000"/>
              </w:rPr>
            </w:pPr>
            <w:r w:rsidRPr="006D2D96">
              <w:rPr>
                <w:b/>
                <w:bCs/>
                <w:i/>
                <w:iCs/>
                <w:color w:val="000000"/>
              </w:rPr>
              <w:t>Boissons gazeuses et alcoolisées</w:t>
            </w:r>
          </w:p>
        </w:tc>
        <w:tc>
          <w:tcPr>
            <w:tcW w:w="2200" w:type="dxa"/>
            <w:tcBorders>
              <w:top w:val="nil"/>
              <w:left w:val="nil"/>
              <w:bottom w:val="single" w:sz="8" w:space="0" w:color="auto"/>
              <w:right w:val="nil"/>
            </w:tcBorders>
            <w:shd w:val="pct50" w:color="C0C0C0" w:fill="E2E2E2"/>
            <w:noWrap/>
            <w:vAlign w:val="center"/>
            <w:hideMark/>
          </w:tcPr>
          <w:p w:rsidR="008F715D" w:rsidRPr="006D2D96" w:rsidRDefault="008F715D" w:rsidP="002105A0">
            <w:pPr>
              <w:jc w:val="center"/>
              <w:rPr>
                <w:rFonts w:ascii="Wingdings" w:hAnsi="Wingdings"/>
                <w:color w:val="000080"/>
              </w:rPr>
            </w:pPr>
            <w:r w:rsidRPr="006D2D96">
              <w:rPr>
                <w:rFonts w:ascii="Wingdings" w:hAnsi="Wingdings"/>
                <w:color w:val="000080"/>
              </w:rPr>
              <w:sym w:font="Wingdings" w:char="00EC"/>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6D2D96" w:rsidRDefault="008F715D" w:rsidP="002105A0">
            <w:pPr>
              <w:ind w:firstLine="368"/>
              <w:rPr>
                <w:b/>
                <w:bCs/>
                <w:i/>
                <w:iCs/>
                <w:color w:val="000000"/>
              </w:rPr>
            </w:pPr>
            <w:r w:rsidRPr="006D2D96">
              <w:rPr>
                <w:b/>
                <w:bCs/>
                <w:i/>
                <w:iCs/>
                <w:color w:val="000000"/>
              </w:rPr>
              <w:t>Eau minérale</w:t>
            </w:r>
          </w:p>
        </w:tc>
        <w:tc>
          <w:tcPr>
            <w:tcW w:w="2200" w:type="dxa"/>
            <w:tcBorders>
              <w:top w:val="nil"/>
              <w:left w:val="nil"/>
              <w:bottom w:val="single" w:sz="8" w:space="0" w:color="auto"/>
              <w:right w:val="nil"/>
            </w:tcBorders>
            <w:shd w:val="pct50" w:color="C0C0C0" w:fill="E2E2E2"/>
            <w:noWrap/>
            <w:vAlign w:val="center"/>
            <w:hideMark/>
          </w:tcPr>
          <w:p w:rsidR="008F715D" w:rsidRPr="006D2D96" w:rsidRDefault="008F715D" w:rsidP="002105A0">
            <w:pPr>
              <w:jc w:val="center"/>
              <w:rPr>
                <w:rFonts w:ascii="Wingdings" w:hAnsi="Wingdings"/>
                <w:color w:val="000080"/>
              </w:rPr>
            </w:pPr>
            <w:r w:rsidRPr="006D2D96">
              <w:rPr>
                <w:rFonts w:ascii="Wingdings" w:hAnsi="Wingdings"/>
                <w:color w:val="000080"/>
              </w:rPr>
              <w:sym w:font="Wingdings" w:char="00EC"/>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1B6262" w:rsidRDefault="008F715D" w:rsidP="002105A0">
            <w:pPr>
              <w:rPr>
                <w:b/>
                <w:bCs/>
                <w:color w:val="000000"/>
              </w:rPr>
            </w:pPr>
            <w:r w:rsidRPr="001B6262">
              <w:rPr>
                <w:b/>
                <w:bCs/>
                <w:color w:val="000000"/>
              </w:rPr>
              <w:t>Industries du bois</w:t>
            </w:r>
          </w:p>
        </w:tc>
        <w:tc>
          <w:tcPr>
            <w:tcW w:w="2200" w:type="dxa"/>
            <w:tcBorders>
              <w:top w:val="nil"/>
              <w:left w:val="nil"/>
              <w:bottom w:val="single" w:sz="8" w:space="0" w:color="auto"/>
              <w:right w:val="nil"/>
            </w:tcBorders>
            <w:shd w:val="pct50" w:color="C0C0C0" w:fill="E2E2E2"/>
            <w:noWrap/>
            <w:vAlign w:val="center"/>
            <w:hideMark/>
          </w:tcPr>
          <w:p w:rsidR="008F715D" w:rsidRPr="001B6262" w:rsidRDefault="008F715D" w:rsidP="002105A0">
            <w:pPr>
              <w:jc w:val="center"/>
              <w:rPr>
                <w:color w:val="000080"/>
              </w:rPr>
            </w:pPr>
          </w:p>
        </w:tc>
      </w:tr>
      <w:tr w:rsidR="008F715D" w:rsidRPr="003749D1"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3749D1" w:rsidRDefault="008F715D" w:rsidP="002105A0">
            <w:pPr>
              <w:ind w:firstLine="368"/>
              <w:rPr>
                <w:b/>
                <w:bCs/>
                <w:i/>
                <w:iCs/>
                <w:color w:val="000000"/>
              </w:rPr>
            </w:pPr>
            <w:r w:rsidRPr="003749D1">
              <w:rPr>
                <w:b/>
                <w:bCs/>
                <w:i/>
                <w:iCs/>
                <w:color w:val="000000"/>
              </w:rPr>
              <w:t>Unités de sciages</w:t>
            </w:r>
          </w:p>
        </w:tc>
        <w:tc>
          <w:tcPr>
            <w:tcW w:w="2200" w:type="dxa"/>
            <w:tcBorders>
              <w:top w:val="nil"/>
              <w:left w:val="nil"/>
              <w:bottom w:val="single" w:sz="8" w:space="0" w:color="auto"/>
              <w:right w:val="nil"/>
            </w:tcBorders>
            <w:shd w:val="pct50" w:color="C0C0C0" w:fill="E2E2E2"/>
            <w:noWrap/>
            <w:vAlign w:val="center"/>
            <w:hideMark/>
          </w:tcPr>
          <w:p w:rsidR="008F715D" w:rsidRPr="003749D1" w:rsidRDefault="008F715D" w:rsidP="002105A0">
            <w:pPr>
              <w:jc w:val="center"/>
              <w:rPr>
                <w:rFonts w:ascii="Wingdings" w:hAnsi="Wingdings"/>
                <w:color w:val="000080"/>
              </w:rPr>
            </w:pPr>
            <w:r w:rsidRPr="003749D1">
              <w:rPr>
                <w:rFonts w:ascii="Wingdings" w:hAnsi="Wingdings"/>
                <w:color w:val="000080"/>
              </w:rPr>
              <w:sym w:font="Wingdings" w:char="00EC"/>
            </w:r>
          </w:p>
        </w:tc>
      </w:tr>
      <w:tr w:rsidR="008F715D" w:rsidRPr="003749D1"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3749D1" w:rsidRDefault="008F715D" w:rsidP="002105A0">
            <w:pPr>
              <w:ind w:firstLine="368"/>
              <w:rPr>
                <w:b/>
                <w:bCs/>
                <w:i/>
                <w:iCs/>
                <w:color w:val="000000"/>
              </w:rPr>
            </w:pPr>
            <w:r w:rsidRPr="003749D1">
              <w:rPr>
                <w:b/>
                <w:bCs/>
                <w:i/>
                <w:iCs/>
                <w:color w:val="000000"/>
              </w:rPr>
              <w:t>Unités de déroulage</w:t>
            </w:r>
          </w:p>
        </w:tc>
        <w:tc>
          <w:tcPr>
            <w:tcW w:w="2200" w:type="dxa"/>
            <w:tcBorders>
              <w:top w:val="nil"/>
              <w:left w:val="nil"/>
              <w:bottom w:val="single" w:sz="8" w:space="0" w:color="auto"/>
              <w:right w:val="nil"/>
            </w:tcBorders>
            <w:shd w:val="pct50" w:color="C0C0C0" w:fill="E2E2E2"/>
            <w:noWrap/>
            <w:vAlign w:val="center"/>
            <w:hideMark/>
          </w:tcPr>
          <w:p w:rsidR="008F715D" w:rsidRPr="003749D1" w:rsidRDefault="008F715D" w:rsidP="002105A0">
            <w:pPr>
              <w:jc w:val="center"/>
              <w:rPr>
                <w:rFonts w:ascii="Wingdings" w:hAnsi="Wingdings"/>
                <w:color w:val="000080"/>
              </w:rPr>
            </w:pPr>
            <w:r w:rsidRPr="003749D1">
              <w:rPr>
                <w:rFonts w:ascii="Wingdings" w:hAnsi="Wingdings"/>
                <w:color w:val="000080"/>
              </w:rPr>
              <w:sym w:font="Wingdings" w:char="00EC"/>
            </w:r>
          </w:p>
        </w:tc>
      </w:tr>
      <w:tr w:rsidR="008F715D" w:rsidRPr="003749D1"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3749D1" w:rsidRDefault="008F715D" w:rsidP="002105A0">
            <w:pPr>
              <w:ind w:firstLine="368"/>
              <w:rPr>
                <w:b/>
                <w:bCs/>
                <w:i/>
                <w:iCs/>
                <w:color w:val="000000"/>
              </w:rPr>
            </w:pPr>
            <w:r>
              <w:rPr>
                <w:b/>
                <w:bCs/>
                <w:i/>
                <w:iCs/>
                <w:color w:val="000000"/>
              </w:rPr>
              <w:t>Unités de contreplaqué</w:t>
            </w:r>
          </w:p>
        </w:tc>
        <w:tc>
          <w:tcPr>
            <w:tcW w:w="2200" w:type="dxa"/>
            <w:tcBorders>
              <w:top w:val="nil"/>
              <w:left w:val="nil"/>
              <w:bottom w:val="single" w:sz="8" w:space="0" w:color="auto"/>
              <w:right w:val="nil"/>
            </w:tcBorders>
            <w:shd w:val="pct50" w:color="C0C0C0" w:fill="E2E2E2"/>
            <w:noWrap/>
            <w:vAlign w:val="center"/>
            <w:hideMark/>
          </w:tcPr>
          <w:p w:rsidR="008F715D" w:rsidRPr="003749D1" w:rsidRDefault="008F715D" w:rsidP="002105A0">
            <w:pPr>
              <w:jc w:val="center"/>
              <w:rPr>
                <w:rFonts w:ascii="Wingdings" w:hAnsi="Wingdings"/>
                <w:color w:val="000080"/>
              </w:rPr>
            </w:pPr>
            <w:r w:rsidRPr="003749D1">
              <w:rPr>
                <w:rFonts w:ascii="Wingdings" w:hAnsi="Wingdings"/>
                <w:color w:val="000080"/>
              </w:rPr>
              <w:sym w:font="Wingdings" w:char="00EC"/>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1B6262" w:rsidRDefault="008F715D" w:rsidP="002105A0">
            <w:pPr>
              <w:rPr>
                <w:b/>
                <w:bCs/>
                <w:color w:val="000000"/>
              </w:rPr>
            </w:pPr>
            <w:r w:rsidRPr="001B6262">
              <w:rPr>
                <w:b/>
                <w:bCs/>
                <w:color w:val="000000"/>
              </w:rPr>
              <w:t>Autres industries de transformation</w:t>
            </w:r>
          </w:p>
        </w:tc>
        <w:tc>
          <w:tcPr>
            <w:tcW w:w="2200" w:type="dxa"/>
            <w:tcBorders>
              <w:top w:val="nil"/>
              <w:left w:val="nil"/>
              <w:bottom w:val="single" w:sz="8" w:space="0" w:color="auto"/>
              <w:right w:val="nil"/>
            </w:tcBorders>
            <w:shd w:val="pct50" w:color="C0C0C0" w:fill="E2E2E2"/>
            <w:noWrap/>
            <w:vAlign w:val="center"/>
            <w:hideMark/>
          </w:tcPr>
          <w:p w:rsidR="008F715D" w:rsidRPr="001B6262" w:rsidRDefault="008F715D" w:rsidP="002105A0">
            <w:pPr>
              <w:jc w:val="center"/>
              <w:rPr>
                <w:color w:val="000080"/>
              </w:rPr>
            </w:pP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494A7D" w:rsidRDefault="008F715D" w:rsidP="002105A0">
            <w:pPr>
              <w:ind w:firstLine="368"/>
              <w:rPr>
                <w:b/>
                <w:bCs/>
                <w:i/>
                <w:iCs/>
                <w:color w:val="000000"/>
              </w:rPr>
            </w:pPr>
            <w:r w:rsidRPr="00494A7D">
              <w:rPr>
                <w:b/>
                <w:bCs/>
                <w:i/>
                <w:iCs/>
                <w:color w:val="000000"/>
              </w:rPr>
              <w:t>Chimie</w:t>
            </w:r>
          </w:p>
        </w:tc>
        <w:tc>
          <w:tcPr>
            <w:tcW w:w="2200" w:type="dxa"/>
            <w:tcBorders>
              <w:top w:val="nil"/>
              <w:left w:val="nil"/>
              <w:bottom w:val="single" w:sz="8" w:space="0" w:color="auto"/>
              <w:right w:val="nil"/>
            </w:tcBorders>
            <w:shd w:val="pct50" w:color="C0C0C0" w:fill="E2E2E2"/>
            <w:noWrap/>
            <w:vAlign w:val="center"/>
            <w:hideMark/>
          </w:tcPr>
          <w:p w:rsidR="008F715D" w:rsidRPr="00494A7D" w:rsidRDefault="008F715D" w:rsidP="002105A0">
            <w:pPr>
              <w:jc w:val="center"/>
              <w:rPr>
                <w:rFonts w:ascii="Wingdings" w:hAnsi="Wingdings"/>
                <w:b/>
                <w:bCs/>
                <w:color w:val="FF0000"/>
              </w:rPr>
            </w:pPr>
            <w:r w:rsidRPr="003749D1">
              <w:rPr>
                <w:rFonts w:ascii="Wingdings" w:hAnsi="Wingdings"/>
                <w:color w:val="000080"/>
              </w:rPr>
              <w:sym w:font="Wingdings" w:char="00EC"/>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AF430C" w:rsidRDefault="008F715D" w:rsidP="002105A0">
            <w:pPr>
              <w:ind w:firstLine="368"/>
              <w:rPr>
                <w:b/>
                <w:bCs/>
                <w:i/>
                <w:iCs/>
                <w:color w:val="000000"/>
              </w:rPr>
            </w:pPr>
            <w:r w:rsidRPr="00AF430C">
              <w:rPr>
                <w:b/>
                <w:bCs/>
                <w:i/>
                <w:iCs/>
                <w:color w:val="000000"/>
              </w:rPr>
              <w:t>Matériaux de construction</w:t>
            </w:r>
          </w:p>
        </w:tc>
        <w:tc>
          <w:tcPr>
            <w:tcW w:w="2200" w:type="dxa"/>
            <w:tcBorders>
              <w:top w:val="nil"/>
              <w:left w:val="nil"/>
              <w:bottom w:val="single" w:sz="8" w:space="0" w:color="auto"/>
              <w:right w:val="nil"/>
            </w:tcBorders>
            <w:shd w:val="pct50" w:color="C0C0C0" w:fill="E2E2E2"/>
            <w:noWrap/>
            <w:vAlign w:val="center"/>
            <w:hideMark/>
          </w:tcPr>
          <w:p w:rsidR="008F715D" w:rsidRPr="00AF430C" w:rsidRDefault="008F715D" w:rsidP="002105A0">
            <w:pPr>
              <w:jc w:val="center"/>
              <w:rPr>
                <w:rFonts w:ascii="Wingdings" w:hAnsi="Wingdings"/>
                <w:color w:val="000080"/>
              </w:rPr>
            </w:pPr>
            <w:r w:rsidRPr="00AF430C">
              <w:rPr>
                <w:rFonts w:ascii="Wingdings" w:hAnsi="Wingdings"/>
                <w:color w:val="000080"/>
              </w:rPr>
              <w:sym w:font="Wingdings" w:char="00EC"/>
            </w:r>
          </w:p>
        </w:tc>
      </w:tr>
      <w:tr w:rsidR="008F715D" w:rsidRPr="003749D1"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3749D1" w:rsidRDefault="008F715D" w:rsidP="002105A0">
            <w:pPr>
              <w:ind w:firstLine="368"/>
              <w:rPr>
                <w:b/>
                <w:bCs/>
                <w:i/>
                <w:iCs/>
                <w:color w:val="000000"/>
              </w:rPr>
            </w:pPr>
            <w:r w:rsidRPr="003749D1">
              <w:rPr>
                <w:b/>
                <w:bCs/>
                <w:i/>
                <w:iCs/>
                <w:color w:val="000000"/>
              </w:rPr>
              <w:t>Seconde transformation des métaux</w:t>
            </w:r>
          </w:p>
        </w:tc>
        <w:tc>
          <w:tcPr>
            <w:tcW w:w="2200" w:type="dxa"/>
            <w:tcBorders>
              <w:top w:val="nil"/>
              <w:left w:val="nil"/>
              <w:bottom w:val="single" w:sz="8" w:space="0" w:color="auto"/>
              <w:right w:val="nil"/>
            </w:tcBorders>
            <w:shd w:val="pct50" w:color="C0C0C0" w:fill="E2E2E2"/>
            <w:noWrap/>
            <w:vAlign w:val="center"/>
            <w:hideMark/>
          </w:tcPr>
          <w:p w:rsidR="008F715D" w:rsidRPr="003749D1" w:rsidRDefault="008F715D" w:rsidP="002105A0">
            <w:pPr>
              <w:jc w:val="center"/>
              <w:rPr>
                <w:rFonts w:ascii="Wingdings" w:hAnsi="Wingdings"/>
                <w:color w:val="000080"/>
              </w:rPr>
            </w:pPr>
            <w:r w:rsidRPr="003749D1">
              <w:rPr>
                <w:rFonts w:ascii="Wingdings" w:hAnsi="Wingdings"/>
                <w:color w:val="000080"/>
              </w:rPr>
              <w:sym w:font="Wingdings" w:char="00EC"/>
            </w:r>
          </w:p>
        </w:tc>
      </w:tr>
      <w:tr w:rsidR="008F715D" w:rsidRPr="003749D1"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3749D1" w:rsidRDefault="008F715D" w:rsidP="002105A0">
            <w:pPr>
              <w:rPr>
                <w:b/>
                <w:bCs/>
                <w:color w:val="000000"/>
              </w:rPr>
            </w:pPr>
            <w:r w:rsidRPr="003749D1">
              <w:rPr>
                <w:b/>
                <w:bCs/>
                <w:color w:val="000000"/>
              </w:rPr>
              <w:t>Raffinage</w:t>
            </w:r>
          </w:p>
        </w:tc>
        <w:tc>
          <w:tcPr>
            <w:tcW w:w="2200" w:type="dxa"/>
            <w:tcBorders>
              <w:top w:val="nil"/>
              <w:left w:val="nil"/>
              <w:bottom w:val="single" w:sz="8" w:space="0" w:color="auto"/>
              <w:right w:val="nil"/>
            </w:tcBorders>
            <w:shd w:val="pct50" w:color="C0C0C0" w:fill="E2E2E2"/>
            <w:noWrap/>
            <w:vAlign w:val="center"/>
            <w:hideMark/>
          </w:tcPr>
          <w:p w:rsidR="008F715D" w:rsidRPr="003749D1" w:rsidRDefault="008F715D" w:rsidP="002105A0">
            <w:pPr>
              <w:jc w:val="center"/>
              <w:rPr>
                <w:rFonts w:ascii="Wingdings" w:hAnsi="Wingdings"/>
                <w:color w:val="000080"/>
              </w:rPr>
            </w:pPr>
            <w:r w:rsidRPr="003749D1">
              <w:rPr>
                <w:rFonts w:ascii="Wingdings" w:hAnsi="Wingdings"/>
                <w:color w:val="000080"/>
              </w:rPr>
              <w:sym w:font="Wingdings" w:char="00EC"/>
            </w:r>
          </w:p>
        </w:tc>
      </w:tr>
      <w:tr w:rsidR="008F715D" w:rsidRPr="003749D1"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3749D1" w:rsidRDefault="008F715D" w:rsidP="002105A0">
            <w:pPr>
              <w:rPr>
                <w:b/>
                <w:bCs/>
                <w:color w:val="000000"/>
              </w:rPr>
            </w:pPr>
            <w:r w:rsidRPr="003749D1">
              <w:rPr>
                <w:b/>
                <w:bCs/>
                <w:color w:val="000000"/>
              </w:rPr>
              <w:t>Electricité et eau</w:t>
            </w:r>
          </w:p>
        </w:tc>
        <w:tc>
          <w:tcPr>
            <w:tcW w:w="2200" w:type="dxa"/>
            <w:tcBorders>
              <w:top w:val="nil"/>
              <w:left w:val="nil"/>
              <w:bottom w:val="single" w:sz="8" w:space="0" w:color="auto"/>
              <w:right w:val="nil"/>
            </w:tcBorders>
            <w:shd w:val="pct50" w:color="C0C0C0" w:fill="E2E2E2"/>
            <w:noWrap/>
            <w:vAlign w:val="center"/>
            <w:hideMark/>
          </w:tcPr>
          <w:p w:rsidR="008F715D" w:rsidRPr="003749D1" w:rsidRDefault="008F715D" w:rsidP="002105A0">
            <w:pPr>
              <w:jc w:val="center"/>
              <w:rPr>
                <w:rFonts w:ascii="Wingdings" w:hAnsi="Wingdings"/>
                <w:color w:val="000080"/>
              </w:rPr>
            </w:pPr>
            <w:r w:rsidRPr="003749D1">
              <w:rPr>
                <w:rFonts w:ascii="Wingdings" w:hAnsi="Wingdings"/>
                <w:color w:val="000080"/>
              </w:rPr>
              <w:sym w:font="Wingdings" w:char="00EC"/>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AF430C" w:rsidRDefault="008F715D" w:rsidP="002105A0">
            <w:pPr>
              <w:rPr>
                <w:b/>
                <w:bCs/>
                <w:color w:val="000000"/>
              </w:rPr>
            </w:pPr>
            <w:r w:rsidRPr="00AF430C">
              <w:rPr>
                <w:b/>
                <w:bCs/>
                <w:color w:val="000000"/>
              </w:rPr>
              <w:t>BTP</w:t>
            </w:r>
          </w:p>
        </w:tc>
        <w:tc>
          <w:tcPr>
            <w:tcW w:w="2200" w:type="dxa"/>
            <w:tcBorders>
              <w:top w:val="nil"/>
              <w:left w:val="nil"/>
              <w:bottom w:val="single" w:sz="8" w:space="0" w:color="auto"/>
              <w:right w:val="nil"/>
            </w:tcBorders>
            <w:shd w:val="pct50" w:color="C0C0C0" w:fill="E2E2E2"/>
            <w:noWrap/>
            <w:vAlign w:val="center"/>
            <w:hideMark/>
          </w:tcPr>
          <w:p w:rsidR="008F715D" w:rsidRPr="00AF430C" w:rsidRDefault="008F715D" w:rsidP="002105A0">
            <w:pPr>
              <w:jc w:val="center"/>
              <w:rPr>
                <w:rFonts w:ascii="Wingdings" w:hAnsi="Wingdings"/>
                <w:b/>
                <w:bCs/>
                <w:color w:val="FF0000"/>
              </w:rPr>
            </w:pPr>
            <w:r w:rsidRPr="00AF430C">
              <w:rPr>
                <w:rFonts w:ascii="Wingdings" w:hAnsi="Wingdings"/>
                <w:b/>
                <w:bCs/>
                <w:color w:val="FF0000"/>
              </w:rPr>
              <w:sym w:font="Wingdings" w:char="00EE"/>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1B6262" w:rsidRDefault="008F715D" w:rsidP="002105A0">
            <w:pPr>
              <w:rPr>
                <w:b/>
                <w:bCs/>
                <w:color w:val="008000"/>
              </w:rPr>
            </w:pPr>
            <w:r w:rsidRPr="001B6262">
              <w:rPr>
                <w:b/>
                <w:bCs/>
                <w:color w:val="008000"/>
              </w:rPr>
              <w:t>Secteur tertiaire</w:t>
            </w:r>
          </w:p>
        </w:tc>
        <w:tc>
          <w:tcPr>
            <w:tcW w:w="2200" w:type="dxa"/>
            <w:tcBorders>
              <w:top w:val="nil"/>
              <w:left w:val="nil"/>
              <w:bottom w:val="single" w:sz="8" w:space="0" w:color="auto"/>
              <w:right w:val="nil"/>
            </w:tcBorders>
            <w:shd w:val="pct50" w:color="C0C0C0" w:fill="E2E2E2"/>
            <w:noWrap/>
            <w:vAlign w:val="center"/>
            <w:hideMark/>
          </w:tcPr>
          <w:p w:rsidR="008F715D" w:rsidRPr="001B6262" w:rsidRDefault="008F715D" w:rsidP="002105A0">
            <w:pPr>
              <w:jc w:val="center"/>
              <w:rPr>
                <w:color w:val="008000"/>
              </w:rPr>
            </w:pP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1B6262" w:rsidRDefault="008F715D" w:rsidP="002105A0">
            <w:pPr>
              <w:rPr>
                <w:b/>
                <w:bCs/>
                <w:color w:val="000000"/>
              </w:rPr>
            </w:pPr>
            <w:r w:rsidRPr="001B6262">
              <w:rPr>
                <w:b/>
                <w:bCs/>
                <w:color w:val="000000"/>
              </w:rPr>
              <w:t>Transports et auxiliaires de transports</w:t>
            </w:r>
          </w:p>
        </w:tc>
        <w:tc>
          <w:tcPr>
            <w:tcW w:w="2200" w:type="dxa"/>
            <w:tcBorders>
              <w:top w:val="nil"/>
              <w:left w:val="nil"/>
              <w:bottom w:val="single" w:sz="8" w:space="0" w:color="auto"/>
              <w:right w:val="nil"/>
            </w:tcBorders>
            <w:shd w:val="pct50" w:color="C0C0C0" w:fill="E2E2E2"/>
            <w:noWrap/>
            <w:vAlign w:val="center"/>
            <w:hideMark/>
          </w:tcPr>
          <w:p w:rsidR="008F715D" w:rsidRPr="001B6262" w:rsidRDefault="008F715D" w:rsidP="002105A0">
            <w:pPr>
              <w:jc w:val="center"/>
              <w:rPr>
                <w:b/>
                <w:bCs/>
                <w:color w:val="000080"/>
              </w:rPr>
            </w:pP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4E2B23" w:rsidRDefault="008F715D" w:rsidP="002105A0">
            <w:pPr>
              <w:ind w:firstLine="368"/>
              <w:rPr>
                <w:b/>
                <w:bCs/>
                <w:i/>
                <w:iCs/>
                <w:color w:val="000000"/>
              </w:rPr>
            </w:pPr>
            <w:r w:rsidRPr="004E2B23">
              <w:rPr>
                <w:b/>
                <w:bCs/>
                <w:i/>
                <w:iCs/>
                <w:color w:val="000000"/>
              </w:rPr>
              <w:t>Aérien</w:t>
            </w:r>
          </w:p>
        </w:tc>
        <w:tc>
          <w:tcPr>
            <w:tcW w:w="2200" w:type="dxa"/>
            <w:tcBorders>
              <w:top w:val="nil"/>
              <w:left w:val="nil"/>
              <w:bottom w:val="single" w:sz="8" w:space="0" w:color="auto"/>
              <w:right w:val="nil"/>
            </w:tcBorders>
            <w:shd w:val="pct50" w:color="C0C0C0" w:fill="E2E2E2"/>
            <w:noWrap/>
            <w:vAlign w:val="center"/>
            <w:hideMark/>
          </w:tcPr>
          <w:p w:rsidR="008F715D" w:rsidRPr="004E2B23" w:rsidRDefault="008F715D" w:rsidP="002105A0">
            <w:pPr>
              <w:jc w:val="center"/>
              <w:rPr>
                <w:rFonts w:ascii="Wingdings" w:hAnsi="Wingdings"/>
                <w:b/>
                <w:bCs/>
                <w:color w:val="FF0000"/>
              </w:rPr>
            </w:pPr>
            <w:r w:rsidRPr="004E2B23">
              <w:rPr>
                <w:rFonts w:ascii="Wingdings" w:hAnsi="Wingdings"/>
                <w:b/>
                <w:bCs/>
                <w:color w:val="FF0000"/>
              </w:rPr>
              <w:sym w:font="Wingdings" w:char="00EE"/>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4E2B23" w:rsidRDefault="008F715D" w:rsidP="002105A0">
            <w:pPr>
              <w:ind w:firstLine="368"/>
              <w:rPr>
                <w:b/>
                <w:bCs/>
                <w:i/>
                <w:iCs/>
                <w:color w:val="000000"/>
              </w:rPr>
            </w:pPr>
            <w:r w:rsidRPr="004E2B23">
              <w:rPr>
                <w:b/>
                <w:bCs/>
                <w:i/>
                <w:iCs/>
                <w:color w:val="000000"/>
              </w:rPr>
              <w:t>Ferroviaire</w:t>
            </w:r>
          </w:p>
        </w:tc>
        <w:tc>
          <w:tcPr>
            <w:tcW w:w="2200" w:type="dxa"/>
            <w:tcBorders>
              <w:top w:val="nil"/>
              <w:left w:val="nil"/>
              <w:bottom w:val="single" w:sz="8" w:space="0" w:color="auto"/>
              <w:right w:val="nil"/>
            </w:tcBorders>
            <w:shd w:val="pct50" w:color="C0C0C0" w:fill="E2E2E2"/>
            <w:noWrap/>
            <w:vAlign w:val="center"/>
            <w:hideMark/>
          </w:tcPr>
          <w:p w:rsidR="008F715D" w:rsidRPr="004E2B23" w:rsidRDefault="008F715D" w:rsidP="002105A0">
            <w:pPr>
              <w:jc w:val="center"/>
              <w:rPr>
                <w:rFonts w:ascii="Wingdings" w:hAnsi="Wingdings"/>
                <w:b/>
                <w:bCs/>
                <w:color w:val="FF0000"/>
              </w:rPr>
            </w:pPr>
            <w:r w:rsidRPr="004E2B23">
              <w:rPr>
                <w:rFonts w:ascii="Wingdings" w:hAnsi="Wingdings"/>
                <w:b/>
                <w:bCs/>
                <w:color w:val="FF0000"/>
              </w:rPr>
              <w:sym w:font="Wingdings" w:char="00EE"/>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494A7D" w:rsidRDefault="008F715D" w:rsidP="002105A0">
            <w:pPr>
              <w:rPr>
                <w:b/>
                <w:bCs/>
                <w:color w:val="000000"/>
              </w:rPr>
            </w:pPr>
            <w:r w:rsidRPr="00494A7D">
              <w:rPr>
                <w:b/>
                <w:bCs/>
                <w:color w:val="000000"/>
              </w:rPr>
              <w:t>Télécommunications</w:t>
            </w:r>
          </w:p>
        </w:tc>
        <w:tc>
          <w:tcPr>
            <w:tcW w:w="2200" w:type="dxa"/>
            <w:tcBorders>
              <w:top w:val="nil"/>
              <w:left w:val="nil"/>
              <w:bottom w:val="single" w:sz="8" w:space="0" w:color="auto"/>
              <w:right w:val="nil"/>
            </w:tcBorders>
            <w:shd w:val="pct50" w:color="C0C0C0" w:fill="E2E2E2"/>
            <w:noWrap/>
            <w:vAlign w:val="center"/>
            <w:hideMark/>
          </w:tcPr>
          <w:p w:rsidR="008F715D" w:rsidRPr="00494A7D" w:rsidRDefault="008F715D" w:rsidP="002105A0">
            <w:pPr>
              <w:jc w:val="center"/>
              <w:rPr>
                <w:rFonts w:ascii="Wingdings" w:hAnsi="Wingdings"/>
                <w:b/>
                <w:bCs/>
                <w:color w:val="FF0000"/>
              </w:rPr>
            </w:pPr>
            <w:r w:rsidRPr="003749D1">
              <w:rPr>
                <w:rFonts w:ascii="Wingdings" w:hAnsi="Wingdings"/>
                <w:color w:val="000080"/>
              </w:rPr>
              <w:sym w:font="Wingdings" w:char="00EC"/>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1B6262" w:rsidRDefault="008F715D" w:rsidP="002105A0">
            <w:pPr>
              <w:rPr>
                <w:b/>
                <w:bCs/>
                <w:color w:val="000000"/>
              </w:rPr>
            </w:pPr>
            <w:r w:rsidRPr="001B6262">
              <w:rPr>
                <w:b/>
                <w:bCs/>
                <w:color w:val="000000"/>
              </w:rPr>
              <w:t>Commerce</w:t>
            </w:r>
          </w:p>
        </w:tc>
        <w:tc>
          <w:tcPr>
            <w:tcW w:w="2200" w:type="dxa"/>
            <w:tcBorders>
              <w:top w:val="nil"/>
              <w:left w:val="nil"/>
              <w:bottom w:val="single" w:sz="8" w:space="0" w:color="auto"/>
              <w:right w:val="nil"/>
            </w:tcBorders>
            <w:shd w:val="pct50" w:color="C0C0C0" w:fill="E2E2E2"/>
            <w:noWrap/>
            <w:vAlign w:val="center"/>
            <w:hideMark/>
          </w:tcPr>
          <w:p w:rsidR="008F715D" w:rsidRPr="001B6262" w:rsidRDefault="008F715D" w:rsidP="002105A0">
            <w:pPr>
              <w:jc w:val="center"/>
              <w:rPr>
                <w:b/>
                <w:bCs/>
                <w:color w:val="000080"/>
              </w:rPr>
            </w:pP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D21AB0" w:rsidRDefault="008F715D" w:rsidP="002105A0">
            <w:pPr>
              <w:tabs>
                <w:tab w:val="left" w:pos="322"/>
              </w:tabs>
              <w:ind w:firstLine="368"/>
              <w:rPr>
                <w:b/>
                <w:bCs/>
                <w:i/>
                <w:iCs/>
                <w:color w:val="000000"/>
              </w:rPr>
            </w:pPr>
            <w:r w:rsidRPr="00D21AB0">
              <w:rPr>
                <w:b/>
                <w:bCs/>
                <w:i/>
                <w:iCs/>
                <w:color w:val="000000"/>
              </w:rPr>
              <w:t>Général structuré</w:t>
            </w:r>
          </w:p>
        </w:tc>
        <w:tc>
          <w:tcPr>
            <w:tcW w:w="2200" w:type="dxa"/>
            <w:tcBorders>
              <w:top w:val="nil"/>
              <w:left w:val="nil"/>
              <w:bottom w:val="single" w:sz="8" w:space="0" w:color="auto"/>
              <w:right w:val="nil"/>
            </w:tcBorders>
            <w:shd w:val="pct50" w:color="C0C0C0" w:fill="E2E2E2"/>
            <w:noWrap/>
            <w:vAlign w:val="center"/>
            <w:hideMark/>
          </w:tcPr>
          <w:p w:rsidR="008F715D" w:rsidRPr="00D21AB0" w:rsidRDefault="008F715D" w:rsidP="002105A0">
            <w:pPr>
              <w:jc w:val="center"/>
              <w:rPr>
                <w:rFonts w:ascii="Wingdings" w:hAnsi="Wingdings"/>
                <w:b/>
                <w:bCs/>
                <w:color w:val="FF0000"/>
              </w:rPr>
            </w:pPr>
            <w:r w:rsidRPr="00D21AB0">
              <w:rPr>
                <w:rFonts w:ascii="Wingdings" w:hAnsi="Wingdings"/>
                <w:b/>
                <w:bCs/>
                <w:color w:val="FF0000"/>
              </w:rPr>
              <w:sym w:font="Wingdings" w:char="00EE"/>
            </w:r>
          </w:p>
        </w:tc>
      </w:tr>
      <w:tr w:rsidR="008F715D" w:rsidRPr="00F5587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D21AB0" w:rsidRDefault="008F715D" w:rsidP="002105A0">
            <w:pPr>
              <w:tabs>
                <w:tab w:val="left" w:pos="322"/>
              </w:tabs>
              <w:ind w:firstLine="368"/>
              <w:rPr>
                <w:b/>
                <w:bCs/>
                <w:i/>
                <w:iCs/>
                <w:color w:val="000000"/>
              </w:rPr>
            </w:pPr>
            <w:r w:rsidRPr="00D21AB0">
              <w:rPr>
                <w:b/>
                <w:bCs/>
                <w:i/>
                <w:iCs/>
                <w:color w:val="000000"/>
              </w:rPr>
              <w:t>Véhicules utilitaires neufs</w:t>
            </w:r>
          </w:p>
        </w:tc>
        <w:tc>
          <w:tcPr>
            <w:tcW w:w="2200" w:type="dxa"/>
            <w:tcBorders>
              <w:top w:val="nil"/>
              <w:left w:val="nil"/>
              <w:bottom w:val="single" w:sz="8" w:space="0" w:color="auto"/>
              <w:right w:val="nil"/>
            </w:tcBorders>
            <w:shd w:val="pct50" w:color="C0C0C0" w:fill="E2E2E2"/>
            <w:noWrap/>
            <w:vAlign w:val="center"/>
            <w:hideMark/>
          </w:tcPr>
          <w:p w:rsidR="008F715D" w:rsidRPr="00D21AB0" w:rsidRDefault="008F715D" w:rsidP="002105A0">
            <w:pPr>
              <w:jc w:val="center"/>
              <w:rPr>
                <w:rFonts w:ascii="Wingdings" w:hAnsi="Wingdings"/>
                <w:b/>
                <w:bCs/>
                <w:color w:val="FF0000"/>
              </w:rPr>
            </w:pPr>
            <w:r w:rsidRPr="00D21AB0">
              <w:rPr>
                <w:rFonts w:ascii="Wingdings" w:hAnsi="Wingdings"/>
                <w:b/>
                <w:bCs/>
                <w:color w:val="FF0000"/>
              </w:rPr>
              <w:sym w:font="Wingdings" w:char="00EE"/>
            </w:r>
          </w:p>
        </w:tc>
      </w:tr>
      <w:tr w:rsidR="008F715D" w:rsidRPr="00F5587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D21AB0" w:rsidRDefault="008F715D" w:rsidP="002105A0">
            <w:pPr>
              <w:tabs>
                <w:tab w:val="left" w:pos="322"/>
              </w:tabs>
              <w:ind w:firstLine="368"/>
              <w:rPr>
                <w:b/>
                <w:bCs/>
                <w:i/>
                <w:iCs/>
                <w:color w:val="000000"/>
              </w:rPr>
            </w:pPr>
            <w:r w:rsidRPr="00D21AB0">
              <w:rPr>
                <w:b/>
                <w:bCs/>
                <w:i/>
                <w:iCs/>
                <w:color w:val="000000"/>
              </w:rPr>
              <w:t>Véhicules industriels</w:t>
            </w:r>
          </w:p>
        </w:tc>
        <w:tc>
          <w:tcPr>
            <w:tcW w:w="2200" w:type="dxa"/>
            <w:tcBorders>
              <w:top w:val="nil"/>
              <w:left w:val="nil"/>
              <w:bottom w:val="single" w:sz="8" w:space="0" w:color="auto"/>
              <w:right w:val="nil"/>
            </w:tcBorders>
            <w:shd w:val="pct50" w:color="C0C0C0" w:fill="E2E2E2"/>
            <w:noWrap/>
            <w:vAlign w:val="center"/>
            <w:hideMark/>
          </w:tcPr>
          <w:p w:rsidR="008F715D" w:rsidRPr="00D21AB0" w:rsidRDefault="008F715D" w:rsidP="002105A0">
            <w:pPr>
              <w:jc w:val="center"/>
              <w:rPr>
                <w:rFonts w:ascii="Wingdings" w:hAnsi="Wingdings"/>
                <w:b/>
                <w:bCs/>
                <w:color w:val="FF0000"/>
              </w:rPr>
            </w:pPr>
            <w:r w:rsidRPr="003749D1">
              <w:rPr>
                <w:rFonts w:ascii="Wingdings" w:hAnsi="Wingdings"/>
                <w:color w:val="000080"/>
              </w:rPr>
              <w:sym w:font="Wingdings" w:char="00EC"/>
            </w:r>
          </w:p>
        </w:tc>
      </w:tr>
      <w:tr w:rsidR="008F715D" w:rsidRPr="00F5587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D21AB0" w:rsidRDefault="008F715D" w:rsidP="002105A0">
            <w:pPr>
              <w:tabs>
                <w:tab w:val="left" w:pos="322"/>
              </w:tabs>
              <w:ind w:firstLine="368"/>
              <w:rPr>
                <w:b/>
                <w:bCs/>
                <w:i/>
                <w:iCs/>
                <w:color w:val="000000"/>
              </w:rPr>
            </w:pPr>
            <w:r w:rsidRPr="00D21AB0">
              <w:rPr>
                <w:b/>
                <w:bCs/>
                <w:i/>
                <w:iCs/>
                <w:color w:val="000000"/>
              </w:rPr>
              <w:t xml:space="preserve">Produits pétroliers </w:t>
            </w:r>
          </w:p>
        </w:tc>
        <w:tc>
          <w:tcPr>
            <w:tcW w:w="2200" w:type="dxa"/>
            <w:tcBorders>
              <w:top w:val="nil"/>
              <w:left w:val="nil"/>
              <w:bottom w:val="single" w:sz="8" w:space="0" w:color="auto"/>
              <w:right w:val="nil"/>
            </w:tcBorders>
            <w:shd w:val="pct50" w:color="C0C0C0" w:fill="E2E2E2"/>
            <w:noWrap/>
            <w:vAlign w:val="center"/>
            <w:hideMark/>
          </w:tcPr>
          <w:p w:rsidR="008F715D" w:rsidRPr="00D21AB0" w:rsidRDefault="008F715D" w:rsidP="002105A0">
            <w:pPr>
              <w:jc w:val="center"/>
              <w:rPr>
                <w:rFonts w:ascii="Wingdings" w:hAnsi="Wingdings"/>
                <w:b/>
                <w:bCs/>
                <w:color w:val="FF0000"/>
              </w:rPr>
            </w:pPr>
            <w:r w:rsidRPr="00D21AB0">
              <w:rPr>
                <w:rFonts w:ascii="Wingdings" w:hAnsi="Wingdings"/>
                <w:b/>
                <w:bCs/>
                <w:color w:val="FF0000"/>
              </w:rPr>
              <w:sym w:font="Wingdings" w:char="00EE"/>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D21AB0" w:rsidRDefault="008F715D" w:rsidP="002105A0">
            <w:pPr>
              <w:tabs>
                <w:tab w:val="left" w:pos="322"/>
              </w:tabs>
              <w:ind w:firstLine="368"/>
              <w:rPr>
                <w:b/>
                <w:bCs/>
                <w:i/>
                <w:iCs/>
                <w:color w:val="000000"/>
              </w:rPr>
            </w:pPr>
            <w:r w:rsidRPr="00D21AB0">
              <w:rPr>
                <w:b/>
                <w:bCs/>
                <w:i/>
                <w:iCs/>
                <w:color w:val="000000"/>
              </w:rPr>
              <w:t>Produits pharmaceutiques</w:t>
            </w:r>
          </w:p>
        </w:tc>
        <w:tc>
          <w:tcPr>
            <w:tcW w:w="2200" w:type="dxa"/>
            <w:tcBorders>
              <w:top w:val="nil"/>
              <w:left w:val="nil"/>
              <w:bottom w:val="single" w:sz="8" w:space="0" w:color="auto"/>
              <w:right w:val="nil"/>
            </w:tcBorders>
            <w:shd w:val="pct50" w:color="C0C0C0" w:fill="E2E2E2"/>
            <w:noWrap/>
            <w:vAlign w:val="center"/>
            <w:hideMark/>
          </w:tcPr>
          <w:p w:rsidR="008F715D" w:rsidRPr="00D21AB0" w:rsidRDefault="008F715D" w:rsidP="002105A0">
            <w:pPr>
              <w:jc w:val="center"/>
              <w:rPr>
                <w:rFonts w:ascii="Wingdings" w:hAnsi="Wingdings"/>
                <w:b/>
                <w:bCs/>
                <w:color w:val="FF0000"/>
              </w:rPr>
            </w:pPr>
            <w:r w:rsidRPr="003749D1">
              <w:rPr>
                <w:rFonts w:ascii="Wingdings" w:hAnsi="Wingdings"/>
                <w:color w:val="000080"/>
              </w:rPr>
              <w:sym w:font="Wingdings" w:char="00EC"/>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1B6262" w:rsidRDefault="008F715D" w:rsidP="002105A0">
            <w:pPr>
              <w:rPr>
                <w:b/>
                <w:bCs/>
                <w:color w:val="000000"/>
              </w:rPr>
            </w:pPr>
            <w:r w:rsidRPr="001B6262">
              <w:rPr>
                <w:b/>
                <w:bCs/>
                <w:color w:val="000000"/>
              </w:rPr>
              <w:t>Services</w:t>
            </w:r>
          </w:p>
        </w:tc>
        <w:tc>
          <w:tcPr>
            <w:tcW w:w="2200" w:type="dxa"/>
            <w:tcBorders>
              <w:top w:val="nil"/>
              <w:left w:val="nil"/>
              <w:bottom w:val="single" w:sz="8" w:space="0" w:color="auto"/>
              <w:right w:val="nil"/>
            </w:tcBorders>
            <w:shd w:val="pct50" w:color="C0C0C0" w:fill="E2E2E2"/>
            <w:noWrap/>
            <w:vAlign w:val="center"/>
            <w:hideMark/>
          </w:tcPr>
          <w:p w:rsidR="008F715D" w:rsidRPr="001B6262" w:rsidRDefault="008F715D" w:rsidP="002105A0">
            <w:pPr>
              <w:jc w:val="center"/>
              <w:rPr>
                <w:color w:val="000080"/>
              </w:rPr>
            </w:pP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4E2B23" w:rsidRDefault="008F715D" w:rsidP="002105A0">
            <w:pPr>
              <w:tabs>
                <w:tab w:val="left" w:pos="345"/>
              </w:tabs>
              <w:ind w:firstLine="368"/>
              <w:rPr>
                <w:b/>
                <w:bCs/>
                <w:i/>
                <w:iCs/>
                <w:color w:val="000000"/>
              </w:rPr>
            </w:pPr>
            <w:r w:rsidRPr="004E2B23">
              <w:rPr>
                <w:b/>
                <w:bCs/>
                <w:i/>
                <w:iCs/>
                <w:color w:val="000000"/>
              </w:rPr>
              <w:lastRenderedPageBreak/>
              <w:t>Rendus aux entreprises</w:t>
            </w:r>
          </w:p>
        </w:tc>
        <w:tc>
          <w:tcPr>
            <w:tcW w:w="2200" w:type="dxa"/>
            <w:tcBorders>
              <w:top w:val="nil"/>
              <w:left w:val="nil"/>
              <w:bottom w:val="single" w:sz="8" w:space="0" w:color="auto"/>
              <w:right w:val="nil"/>
            </w:tcBorders>
            <w:shd w:val="pct50" w:color="C0C0C0" w:fill="E2E2E2"/>
            <w:noWrap/>
            <w:vAlign w:val="center"/>
            <w:hideMark/>
          </w:tcPr>
          <w:p w:rsidR="008F715D" w:rsidRPr="004E2B23" w:rsidRDefault="008F715D" w:rsidP="002105A0">
            <w:pPr>
              <w:jc w:val="center"/>
              <w:rPr>
                <w:rFonts w:ascii="Wingdings" w:hAnsi="Wingdings"/>
                <w:b/>
                <w:bCs/>
                <w:color w:val="FF0000"/>
              </w:rPr>
            </w:pPr>
            <w:r w:rsidRPr="004E2B23">
              <w:rPr>
                <w:rFonts w:ascii="Wingdings" w:hAnsi="Wingdings"/>
                <w:b/>
                <w:bCs/>
                <w:color w:val="FF0000"/>
              </w:rPr>
              <w:sym w:font="Wingdings" w:char="00EE"/>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6D2D96" w:rsidRDefault="008F715D" w:rsidP="002105A0">
            <w:pPr>
              <w:tabs>
                <w:tab w:val="left" w:pos="345"/>
              </w:tabs>
              <w:ind w:firstLine="368"/>
              <w:rPr>
                <w:b/>
                <w:bCs/>
                <w:i/>
                <w:iCs/>
                <w:color w:val="000000"/>
              </w:rPr>
            </w:pPr>
            <w:r w:rsidRPr="006D2D96">
              <w:rPr>
                <w:b/>
                <w:bCs/>
                <w:i/>
                <w:iCs/>
                <w:color w:val="000000"/>
              </w:rPr>
              <w:t>Rendus aux particuliers</w:t>
            </w:r>
          </w:p>
        </w:tc>
        <w:tc>
          <w:tcPr>
            <w:tcW w:w="2200" w:type="dxa"/>
            <w:tcBorders>
              <w:top w:val="nil"/>
              <w:left w:val="nil"/>
              <w:bottom w:val="single" w:sz="8" w:space="0" w:color="auto"/>
              <w:right w:val="nil"/>
            </w:tcBorders>
            <w:shd w:val="pct50" w:color="C0C0C0" w:fill="E2E2E2"/>
            <w:noWrap/>
            <w:vAlign w:val="center"/>
            <w:hideMark/>
          </w:tcPr>
          <w:p w:rsidR="008F715D" w:rsidRPr="006D2D96" w:rsidRDefault="008F715D" w:rsidP="002105A0">
            <w:pPr>
              <w:jc w:val="center"/>
              <w:rPr>
                <w:rFonts w:ascii="Wingdings" w:hAnsi="Wingdings"/>
                <w:b/>
                <w:bCs/>
                <w:color w:val="FF0000"/>
              </w:rPr>
            </w:pPr>
            <w:r w:rsidRPr="006D2D96">
              <w:rPr>
                <w:rFonts w:ascii="Wingdings" w:hAnsi="Wingdings"/>
                <w:b/>
                <w:bCs/>
                <w:color w:val="FF0000"/>
              </w:rPr>
              <w:sym w:font="Wingdings" w:char="00EE"/>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6D2D96" w:rsidRDefault="008F715D" w:rsidP="002105A0">
            <w:pPr>
              <w:tabs>
                <w:tab w:val="left" w:pos="345"/>
              </w:tabs>
              <w:ind w:firstLine="368"/>
              <w:rPr>
                <w:b/>
                <w:bCs/>
                <w:i/>
                <w:iCs/>
                <w:color w:val="000000"/>
              </w:rPr>
            </w:pPr>
            <w:r w:rsidRPr="006D2D96">
              <w:rPr>
                <w:b/>
                <w:bCs/>
                <w:i/>
                <w:iCs/>
                <w:color w:val="000000"/>
              </w:rPr>
              <w:t>Immobiliers</w:t>
            </w:r>
          </w:p>
        </w:tc>
        <w:tc>
          <w:tcPr>
            <w:tcW w:w="2200" w:type="dxa"/>
            <w:tcBorders>
              <w:top w:val="nil"/>
              <w:left w:val="nil"/>
              <w:bottom w:val="single" w:sz="8" w:space="0" w:color="auto"/>
              <w:right w:val="nil"/>
            </w:tcBorders>
            <w:shd w:val="pct50" w:color="C0C0C0" w:fill="E2E2E2"/>
            <w:noWrap/>
            <w:vAlign w:val="center"/>
            <w:hideMark/>
          </w:tcPr>
          <w:p w:rsidR="008F715D" w:rsidRPr="006D2D96" w:rsidRDefault="008F715D" w:rsidP="002105A0">
            <w:pPr>
              <w:jc w:val="center"/>
              <w:rPr>
                <w:rFonts w:ascii="Wingdings" w:hAnsi="Wingdings"/>
                <w:color w:val="000080"/>
              </w:rPr>
            </w:pPr>
            <w:r w:rsidRPr="006D2D96">
              <w:rPr>
                <w:rFonts w:ascii="Wingdings" w:hAnsi="Wingdings"/>
                <w:color w:val="000080"/>
              </w:rPr>
              <w:sym w:font="Wingdings" w:char="00EC"/>
            </w:r>
          </w:p>
        </w:tc>
      </w:tr>
      <w:tr w:rsidR="008F715D" w:rsidRPr="001B6262" w:rsidTr="002105A0">
        <w:trPr>
          <w:trHeight w:val="283"/>
        </w:trPr>
        <w:tc>
          <w:tcPr>
            <w:tcW w:w="5620" w:type="dxa"/>
            <w:tcBorders>
              <w:top w:val="nil"/>
              <w:left w:val="nil"/>
              <w:bottom w:val="single" w:sz="8" w:space="0" w:color="auto"/>
              <w:right w:val="nil"/>
            </w:tcBorders>
            <w:shd w:val="clear" w:color="auto" w:fill="A6A6A6" w:themeFill="background1" w:themeFillShade="A6"/>
            <w:noWrap/>
            <w:vAlign w:val="center"/>
            <w:hideMark/>
          </w:tcPr>
          <w:p w:rsidR="008F715D" w:rsidRPr="006D2D96" w:rsidRDefault="008F715D" w:rsidP="002105A0">
            <w:pPr>
              <w:tabs>
                <w:tab w:val="left" w:pos="345"/>
              </w:tabs>
              <w:ind w:firstLine="368"/>
              <w:rPr>
                <w:b/>
                <w:bCs/>
                <w:i/>
                <w:iCs/>
                <w:color w:val="000000"/>
              </w:rPr>
            </w:pPr>
            <w:r w:rsidRPr="006D2D96">
              <w:rPr>
                <w:b/>
                <w:bCs/>
                <w:i/>
                <w:iCs/>
                <w:color w:val="000000"/>
              </w:rPr>
              <w:t>Réparation mécanique</w:t>
            </w:r>
          </w:p>
        </w:tc>
        <w:tc>
          <w:tcPr>
            <w:tcW w:w="2200" w:type="dxa"/>
            <w:tcBorders>
              <w:top w:val="nil"/>
              <w:left w:val="nil"/>
              <w:bottom w:val="single" w:sz="8" w:space="0" w:color="auto"/>
              <w:right w:val="nil"/>
            </w:tcBorders>
            <w:shd w:val="pct50" w:color="C0C0C0" w:fill="E2E2E2"/>
            <w:noWrap/>
            <w:vAlign w:val="center"/>
            <w:hideMark/>
          </w:tcPr>
          <w:p w:rsidR="008F715D" w:rsidRPr="006D2D96" w:rsidRDefault="008F715D" w:rsidP="002105A0">
            <w:pPr>
              <w:jc w:val="center"/>
              <w:rPr>
                <w:rFonts w:ascii="Wingdings" w:hAnsi="Wingdings"/>
                <w:b/>
                <w:bCs/>
                <w:color w:val="FF0000"/>
              </w:rPr>
            </w:pPr>
            <w:r w:rsidRPr="006D2D96">
              <w:rPr>
                <w:rFonts w:ascii="Wingdings" w:hAnsi="Wingdings"/>
                <w:b/>
                <w:bCs/>
                <w:color w:val="FF0000"/>
              </w:rPr>
              <w:sym w:font="Wingdings" w:char="00EE"/>
            </w:r>
          </w:p>
        </w:tc>
      </w:tr>
      <w:tr w:rsidR="008F715D" w:rsidRPr="004E36A3" w:rsidTr="002105A0">
        <w:trPr>
          <w:trHeight w:val="283"/>
        </w:trPr>
        <w:tc>
          <w:tcPr>
            <w:tcW w:w="5620" w:type="dxa"/>
            <w:tcBorders>
              <w:top w:val="nil"/>
              <w:left w:val="nil"/>
              <w:bottom w:val="nil"/>
              <w:right w:val="nil"/>
            </w:tcBorders>
            <w:shd w:val="clear" w:color="auto" w:fill="A6A6A6" w:themeFill="background1" w:themeFillShade="A6"/>
            <w:noWrap/>
            <w:vAlign w:val="center"/>
            <w:hideMark/>
          </w:tcPr>
          <w:p w:rsidR="008F715D" w:rsidRPr="006D2D96" w:rsidRDefault="008F715D" w:rsidP="002105A0">
            <w:pPr>
              <w:rPr>
                <w:b/>
                <w:bCs/>
                <w:color w:val="000000"/>
              </w:rPr>
            </w:pPr>
            <w:r w:rsidRPr="006D2D96">
              <w:rPr>
                <w:b/>
                <w:bCs/>
                <w:color w:val="000000"/>
              </w:rPr>
              <w:t>Hôtellerie et restauration</w:t>
            </w:r>
          </w:p>
        </w:tc>
        <w:tc>
          <w:tcPr>
            <w:tcW w:w="2200" w:type="dxa"/>
            <w:tcBorders>
              <w:top w:val="nil"/>
              <w:left w:val="nil"/>
              <w:bottom w:val="nil"/>
              <w:right w:val="nil"/>
            </w:tcBorders>
            <w:shd w:val="pct50" w:color="C0C0C0" w:fill="E2E2E2"/>
            <w:noWrap/>
            <w:vAlign w:val="center"/>
            <w:hideMark/>
          </w:tcPr>
          <w:p w:rsidR="008F715D" w:rsidRPr="006D2D96" w:rsidRDefault="008F715D" w:rsidP="002105A0">
            <w:pPr>
              <w:jc w:val="center"/>
              <w:rPr>
                <w:rFonts w:ascii="Wingdings" w:hAnsi="Wingdings"/>
                <w:b/>
                <w:bCs/>
                <w:color w:val="FF0000"/>
              </w:rPr>
            </w:pPr>
            <w:r w:rsidRPr="006D2D96">
              <w:rPr>
                <w:rFonts w:ascii="Wingdings" w:hAnsi="Wingdings"/>
                <w:color w:val="000080"/>
              </w:rPr>
              <w:sym w:font="Wingdings" w:char="00EC"/>
            </w:r>
          </w:p>
        </w:tc>
      </w:tr>
    </w:tbl>
    <w:p w:rsidR="008F715D" w:rsidRDefault="008F715D" w:rsidP="008F715D">
      <w:pPr>
        <w:rPr>
          <w:rFonts w:asciiTheme="majorBidi" w:hAnsiTheme="majorBidi" w:cstheme="majorBidi"/>
          <w:highlight w:val="lightGray"/>
        </w:rPr>
      </w:pPr>
      <w:r>
        <w:rPr>
          <w:rFonts w:asciiTheme="majorBidi" w:hAnsiTheme="majorBidi" w:cstheme="majorBidi"/>
          <w:highlight w:val="lightGray"/>
        </w:rPr>
        <w:br w:type="textWrapping" w:clear="all"/>
      </w:r>
    </w:p>
    <w:p w:rsidR="008F715D" w:rsidRDefault="008F715D" w:rsidP="008F715D">
      <w:pPr>
        <w:rPr>
          <w:rFonts w:asciiTheme="majorBidi" w:hAnsiTheme="majorBidi" w:cstheme="majorBidi"/>
          <w:highlight w:val="lightGray"/>
        </w:rPr>
      </w:pPr>
    </w:p>
    <w:p w:rsidR="008F715D" w:rsidRPr="00403FC6" w:rsidRDefault="008F715D" w:rsidP="008F715D">
      <w:pPr>
        <w:rPr>
          <w:rFonts w:eastAsia="Calibri"/>
          <w:highlight w:val="lightGray"/>
        </w:rPr>
      </w:pPr>
      <w:r w:rsidRPr="00403FC6">
        <w:rPr>
          <w:rFonts w:asciiTheme="majorBidi" w:hAnsiTheme="majorBidi" w:cstheme="majorBidi"/>
          <w:highlight w:val="lightGray"/>
        </w:rPr>
        <w:br w:type="page"/>
      </w:r>
      <w:bookmarkEnd w:id="23"/>
    </w:p>
    <w:p w:rsidR="008F715D" w:rsidRPr="00D149B6" w:rsidRDefault="008F715D" w:rsidP="008F715D">
      <w:pPr>
        <w:pStyle w:val="Titre2"/>
        <w:rPr>
          <w:rFonts w:asciiTheme="majorBidi" w:hAnsiTheme="majorBidi" w:cstheme="majorBidi"/>
          <w:b/>
          <w:bCs/>
          <w:i w:val="0"/>
          <w:color w:val="0000FF"/>
          <w:sz w:val="24"/>
        </w:rPr>
      </w:pPr>
      <w:bookmarkStart w:id="24" w:name="_Toc356891299"/>
      <w:bookmarkStart w:id="25" w:name="_Toc389653126"/>
      <w:bookmarkStart w:id="26" w:name="_Toc389653354"/>
      <w:bookmarkStart w:id="27" w:name="_Toc420027508"/>
      <w:bookmarkStart w:id="28" w:name="_Toc462990805"/>
      <w:bookmarkStart w:id="29" w:name="_Toc63511784"/>
      <w:bookmarkStart w:id="30" w:name="_Toc77665738"/>
      <w:r w:rsidRPr="00D149B6">
        <w:rPr>
          <w:rFonts w:asciiTheme="majorBidi" w:hAnsiTheme="majorBidi" w:cstheme="majorBidi"/>
          <w:b/>
          <w:bCs/>
          <w:i w:val="0"/>
          <w:color w:val="0000FF"/>
          <w:sz w:val="24"/>
        </w:rPr>
        <w:lastRenderedPageBreak/>
        <w:t>I</w:t>
      </w:r>
      <w:r>
        <w:rPr>
          <w:rFonts w:asciiTheme="majorBidi" w:hAnsiTheme="majorBidi" w:cstheme="majorBidi"/>
          <w:b/>
          <w:bCs/>
          <w:i w:val="0"/>
          <w:color w:val="0000FF"/>
          <w:sz w:val="24"/>
        </w:rPr>
        <w:t>I</w:t>
      </w:r>
      <w:r w:rsidRPr="00D149B6">
        <w:rPr>
          <w:rFonts w:asciiTheme="majorBidi" w:hAnsiTheme="majorBidi" w:cstheme="majorBidi"/>
          <w:b/>
          <w:bCs/>
          <w:i w:val="0"/>
          <w:color w:val="0000FF"/>
          <w:sz w:val="24"/>
        </w:rPr>
        <w:t>.2.</w:t>
      </w:r>
      <w:r>
        <w:rPr>
          <w:rFonts w:asciiTheme="majorBidi" w:hAnsiTheme="majorBidi" w:cstheme="majorBidi"/>
          <w:b/>
          <w:bCs/>
          <w:i w:val="0"/>
          <w:color w:val="0000FF"/>
          <w:sz w:val="24"/>
        </w:rPr>
        <w:t xml:space="preserve"> </w:t>
      </w:r>
      <w:r w:rsidRPr="00D149B6">
        <w:rPr>
          <w:rFonts w:asciiTheme="majorBidi" w:hAnsiTheme="majorBidi" w:cstheme="majorBidi"/>
          <w:b/>
          <w:bCs/>
          <w:i w:val="0"/>
          <w:color w:val="0000FF"/>
          <w:sz w:val="24"/>
        </w:rPr>
        <w:t>LE PETROLE</w:t>
      </w:r>
      <w:bookmarkEnd w:id="24"/>
      <w:bookmarkEnd w:id="25"/>
      <w:bookmarkEnd w:id="26"/>
      <w:bookmarkEnd w:id="27"/>
      <w:bookmarkEnd w:id="28"/>
    </w:p>
    <w:p w:rsidR="008F715D" w:rsidRPr="00D149B6" w:rsidRDefault="008F715D" w:rsidP="008F715D">
      <w:pPr>
        <w:jc w:val="both"/>
        <w:rPr>
          <w:rFonts w:asciiTheme="majorBidi" w:hAnsiTheme="majorBidi" w:cstheme="majorBidi"/>
        </w:rPr>
      </w:pPr>
    </w:p>
    <w:p w:rsidR="008F715D" w:rsidRDefault="008F715D" w:rsidP="008F715D">
      <w:pPr>
        <w:jc w:val="both"/>
        <w:rPr>
          <w:bCs/>
          <w:iCs/>
          <w:color w:val="000000"/>
        </w:rPr>
      </w:pPr>
      <w:r w:rsidRPr="00446D29">
        <w:rPr>
          <w:bCs/>
          <w:iCs/>
          <w:color w:val="000000"/>
        </w:rPr>
        <w:t>Au terme d</w:t>
      </w:r>
      <w:r>
        <w:rPr>
          <w:rFonts w:asciiTheme="majorBidi" w:hAnsiTheme="majorBidi" w:cstheme="majorBidi"/>
          <w:bCs/>
          <w:iCs/>
          <w:color w:val="000000"/>
        </w:rPr>
        <w:t xml:space="preserve">es six </w:t>
      </w:r>
      <w:r w:rsidRPr="00446D29">
        <w:rPr>
          <w:bCs/>
          <w:iCs/>
          <w:color w:val="000000"/>
        </w:rPr>
        <w:t>premier</w:t>
      </w:r>
      <w:r>
        <w:rPr>
          <w:rFonts w:asciiTheme="majorBidi" w:hAnsiTheme="majorBidi" w:cstheme="majorBidi"/>
          <w:bCs/>
          <w:iCs/>
          <w:color w:val="000000"/>
        </w:rPr>
        <w:t>s</w:t>
      </w:r>
      <w:r w:rsidRPr="00446D29">
        <w:rPr>
          <w:bCs/>
          <w:iCs/>
          <w:color w:val="000000"/>
        </w:rPr>
        <w:t xml:space="preserve"> m</w:t>
      </w:r>
      <w:r>
        <w:rPr>
          <w:rFonts w:asciiTheme="majorBidi" w:hAnsiTheme="majorBidi" w:cstheme="majorBidi"/>
          <w:bCs/>
          <w:iCs/>
          <w:color w:val="000000"/>
        </w:rPr>
        <w:t>oi</w:t>
      </w:r>
      <w:r w:rsidRPr="00446D29">
        <w:rPr>
          <w:bCs/>
          <w:iCs/>
          <w:color w:val="000000"/>
        </w:rPr>
        <w:t>s</w:t>
      </w:r>
      <w:r>
        <w:rPr>
          <w:rFonts w:asciiTheme="majorBidi" w:hAnsiTheme="majorBidi" w:cstheme="majorBidi"/>
          <w:bCs/>
          <w:iCs/>
          <w:color w:val="000000"/>
        </w:rPr>
        <w:t xml:space="preserve"> de</w:t>
      </w:r>
      <w:r w:rsidRPr="00446D29">
        <w:rPr>
          <w:bCs/>
          <w:iCs/>
          <w:color w:val="000000"/>
        </w:rPr>
        <w:t xml:space="preserve"> 2016, </w:t>
      </w:r>
      <w:r>
        <w:rPr>
          <w:rFonts w:asciiTheme="majorBidi" w:hAnsiTheme="majorBidi" w:cstheme="majorBidi"/>
          <w:bCs/>
          <w:iCs/>
          <w:color w:val="000000"/>
        </w:rPr>
        <w:t xml:space="preserve">la production nationale </w:t>
      </w:r>
      <w:r w:rsidRPr="00446D29">
        <w:rPr>
          <w:bCs/>
          <w:iCs/>
          <w:color w:val="000000"/>
        </w:rPr>
        <w:t>de pétrole brut a atteint 5,7</w:t>
      </w:r>
      <w:r>
        <w:rPr>
          <w:rFonts w:asciiTheme="majorBidi" w:hAnsiTheme="majorBidi" w:cstheme="majorBidi"/>
          <w:bCs/>
          <w:iCs/>
          <w:color w:val="000000"/>
        </w:rPr>
        <w:t>7</w:t>
      </w:r>
      <w:r w:rsidRPr="00446D29">
        <w:rPr>
          <w:bCs/>
          <w:iCs/>
          <w:color w:val="000000"/>
        </w:rPr>
        <w:t xml:space="preserve"> millions de tonnes</w:t>
      </w:r>
      <w:r>
        <w:rPr>
          <w:bCs/>
          <w:iCs/>
          <w:color w:val="000000"/>
        </w:rPr>
        <w:t xml:space="preserve"> (42,2 millions de barils)</w:t>
      </w:r>
      <w:r w:rsidRPr="00446D29">
        <w:rPr>
          <w:bCs/>
          <w:iCs/>
          <w:color w:val="000000"/>
        </w:rPr>
        <w:t xml:space="preserve">, en </w:t>
      </w:r>
      <w:r>
        <w:rPr>
          <w:rFonts w:asciiTheme="majorBidi" w:hAnsiTheme="majorBidi" w:cstheme="majorBidi"/>
          <w:bCs/>
          <w:iCs/>
          <w:color w:val="000000"/>
        </w:rPr>
        <w:t>légère baisse de 0,2</w:t>
      </w:r>
      <w:r w:rsidRPr="00446D29">
        <w:rPr>
          <w:bCs/>
          <w:iCs/>
          <w:color w:val="000000"/>
        </w:rPr>
        <w:t xml:space="preserve">% par rapport à </w:t>
      </w:r>
      <w:r>
        <w:rPr>
          <w:rFonts w:asciiTheme="majorBidi" w:hAnsiTheme="majorBidi" w:cstheme="majorBidi"/>
          <w:bCs/>
          <w:iCs/>
          <w:color w:val="000000"/>
        </w:rPr>
        <w:t xml:space="preserve">la même période de </w:t>
      </w:r>
      <w:r w:rsidRPr="00446D29">
        <w:rPr>
          <w:bCs/>
          <w:iCs/>
          <w:color w:val="000000"/>
        </w:rPr>
        <w:t>2015. Cet</w:t>
      </w:r>
      <w:r>
        <w:rPr>
          <w:bCs/>
          <w:iCs/>
          <w:color w:val="000000"/>
        </w:rPr>
        <w:t>te diminution est liée aux contre-performances sur les puits opérés par Shell, Perenco, Addax et CNRI, sous l’effet des problèmes techniques rencontrés et du déclin naturel des champs matures. Cependant, les bons résultats enregistrés par Total, Vaalco, Maurel &amp; Prom et Sino Gabon ont permis d’atténuer cette baisse.</w:t>
      </w:r>
    </w:p>
    <w:p w:rsidR="008F715D" w:rsidRDefault="008F715D" w:rsidP="008F715D">
      <w:pPr>
        <w:jc w:val="both"/>
        <w:rPr>
          <w:bCs/>
          <w:iCs/>
          <w:color w:val="000000"/>
        </w:rPr>
      </w:pPr>
    </w:p>
    <w:p w:rsidR="008F715D" w:rsidRPr="00EF4D44" w:rsidRDefault="008F715D" w:rsidP="008F715D">
      <w:pPr>
        <w:jc w:val="both"/>
        <w:rPr>
          <w:rFonts w:asciiTheme="majorBidi" w:hAnsiTheme="majorBidi" w:cstheme="majorBidi"/>
          <w:bCs/>
          <w:iCs/>
        </w:rPr>
      </w:pPr>
      <w:r w:rsidRPr="00EF4D44">
        <w:rPr>
          <w:bCs/>
          <w:iCs/>
        </w:rPr>
        <w:t>Les exportations, quant à elles, ont connu une hausse de 1,4%, atteignant 5,45 millions de tonnes, tirées par les commandes asiatiques (+16,6%) et de l’Amérique latine &amp; des Caraïbes (+34,2%) des bruts gabonais, notamment le Mandji et l’Oguendjo. Par destination, l’Asie a absorbé plus de la moitié des ventes du brut gabonais.</w:t>
      </w:r>
    </w:p>
    <w:p w:rsidR="008F715D" w:rsidRDefault="008F715D" w:rsidP="008F715D">
      <w:pPr>
        <w:jc w:val="both"/>
        <w:rPr>
          <w:highlight w:val="lightGray"/>
        </w:rPr>
      </w:pPr>
    </w:p>
    <w:p w:rsidR="008F715D" w:rsidRDefault="008F715D" w:rsidP="008F715D">
      <w:pPr>
        <w:jc w:val="both"/>
        <w:rPr>
          <w:highlight w:val="lightGray"/>
        </w:rPr>
      </w:pPr>
      <w:r w:rsidRPr="00D612D0">
        <w:rPr>
          <w:noProof/>
        </w:rPr>
        <w:drawing>
          <wp:inline distT="0" distB="0" distL="0" distR="0">
            <wp:extent cx="5759450" cy="1823107"/>
            <wp:effectExtent l="1905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759450" cy="1823107"/>
                    </a:xfrm>
                    <a:prstGeom prst="rect">
                      <a:avLst/>
                    </a:prstGeom>
                    <a:noFill/>
                    <a:ln w="9525">
                      <a:noFill/>
                      <a:miter lim="800000"/>
                      <a:headEnd/>
                      <a:tailEnd/>
                    </a:ln>
                  </pic:spPr>
                </pic:pic>
              </a:graphicData>
            </a:graphic>
          </wp:inline>
        </w:drawing>
      </w:r>
    </w:p>
    <w:p w:rsidR="008F715D" w:rsidRPr="00C0053C" w:rsidRDefault="008F715D" w:rsidP="008F715D">
      <w:pPr>
        <w:jc w:val="both"/>
        <w:rPr>
          <w:highlight w:val="lightGray"/>
        </w:rPr>
      </w:pPr>
    </w:p>
    <w:p w:rsidR="008F715D" w:rsidRDefault="008F715D" w:rsidP="008F715D">
      <w:pPr>
        <w:jc w:val="both"/>
        <w:rPr>
          <w:bCs/>
          <w:iCs/>
          <w:color w:val="000000"/>
        </w:rPr>
      </w:pPr>
      <w:r w:rsidRPr="00446D29">
        <w:rPr>
          <w:bCs/>
          <w:iCs/>
          <w:color w:val="000000"/>
        </w:rPr>
        <w:t xml:space="preserve">La persistance </w:t>
      </w:r>
      <w:r>
        <w:rPr>
          <w:bCs/>
          <w:iCs/>
          <w:color w:val="000000"/>
        </w:rPr>
        <w:t>de la surabondanc</w:t>
      </w:r>
      <w:r w:rsidRPr="00446D29">
        <w:rPr>
          <w:bCs/>
          <w:iCs/>
          <w:color w:val="000000"/>
        </w:rPr>
        <w:t xml:space="preserve">e de l’offre, couplée à l’atonie de la demande mondiale de pétrole, </w:t>
      </w:r>
      <w:r>
        <w:rPr>
          <w:bCs/>
          <w:iCs/>
          <w:color w:val="000000"/>
        </w:rPr>
        <w:t xml:space="preserve">a </w:t>
      </w:r>
      <w:r w:rsidRPr="00446D29">
        <w:rPr>
          <w:bCs/>
          <w:iCs/>
          <w:color w:val="000000"/>
        </w:rPr>
        <w:t>mainten</w:t>
      </w:r>
      <w:r>
        <w:rPr>
          <w:bCs/>
          <w:iCs/>
          <w:color w:val="000000"/>
        </w:rPr>
        <w:t>u</w:t>
      </w:r>
      <w:r w:rsidRPr="00446D29">
        <w:rPr>
          <w:bCs/>
          <w:iCs/>
          <w:color w:val="000000"/>
        </w:rPr>
        <w:t xml:space="preserve"> le prix moyen </w:t>
      </w:r>
      <w:r>
        <w:rPr>
          <w:bCs/>
          <w:iCs/>
          <w:color w:val="000000"/>
        </w:rPr>
        <w:t xml:space="preserve">du Brent sous les 50 dollars à </w:t>
      </w:r>
      <w:r w:rsidRPr="00446D29">
        <w:rPr>
          <w:bCs/>
          <w:iCs/>
          <w:color w:val="000000"/>
        </w:rPr>
        <w:t>47,91</w:t>
      </w:r>
      <w:r>
        <w:rPr>
          <w:bCs/>
          <w:iCs/>
          <w:color w:val="000000"/>
        </w:rPr>
        <w:t xml:space="preserve"> dollars le baril</w:t>
      </w:r>
      <w:r w:rsidRPr="00446D29">
        <w:rPr>
          <w:bCs/>
          <w:iCs/>
          <w:color w:val="000000"/>
        </w:rPr>
        <w:t>, en baisse de</w:t>
      </w:r>
      <w:r>
        <w:rPr>
          <w:bCs/>
          <w:iCs/>
          <w:color w:val="000000"/>
        </w:rPr>
        <w:t xml:space="preserve"> 17</w:t>
      </w:r>
      <w:r w:rsidRPr="00446D29">
        <w:rPr>
          <w:bCs/>
          <w:iCs/>
          <w:color w:val="000000"/>
        </w:rPr>
        <w:t>,</w:t>
      </w:r>
      <w:r>
        <w:rPr>
          <w:bCs/>
          <w:iCs/>
          <w:color w:val="000000"/>
        </w:rPr>
        <w:t>3</w:t>
      </w:r>
      <w:r w:rsidRPr="00446D29">
        <w:rPr>
          <w:bCs/>
          <w:iCs/>
          <w:color w:val="000000"/>
        </w:rPr>
        <w:t>% par rapport à 2015. De même, l</w:t>
      </w:r>
      <w:r>
        <w:rPr>
          <w:bCs/>
          <w:iCs/>
          <w:color w:val="000000"/>
        </w:rPr>
        <w:t xml:space="preserve">e prix moyen des bruts gabonais a accusé une chute de 32,8% </w:t>
      </w:r>
      <w:r w:rsidRPr="00446D29">
        <w:rPr>
          <w:bCs/>
          <w:iCs/>
          <w:color w:val="000000"/>
        </w:rPr>
        <w:t>à 36,</w:t>
      </w:r>
      <w:r>
        <w:rPr>
          <w:bCs/>
          <w:iCs/>
          <w:color w:val="000000"/>
        </w:rPr>
        <w:t xml:space="preserve">09 </w:t>
      </w:r>
      <w:r w:rsidRPr="00446D29">
        <w:rPr>
          <w:bCs/>
          <w:iCs/>
          <w:color w:val="000000"/>
        </w:rPr>
        <w:t xml:space="preserve">dollars le baril </w:t>
      </w:r>
      <w:r>
        <w:rPr>
          <w:bCs/>
          <w:iCs/>
          <w:color w:val="000000"/>
        </w:rPr>
        <w:t>à fin juin 2016.</w:t>
      </w:r>
    </w:p>
    <w:p w:rsidR="008F715D" w:rsidRDefault="008F715D" w:rsidP="008F715D">
      <w:pPr>
        <w:jc w:val="both"/>
        <w:rPr>
          <w:bCs/>
          <w:iCs/>
          <w:color w:val="000000"/>
        </w:rPr>
      </w:pPr>
    </w:p>
    <w:p w:rsidR="008F715D" w:rsidRPr="00446D29" w:rsidRDefault="008F715D" w:rsidP="008F715D">
      <w:pPr>
        <w:jc w:val="both"/>
        <w:rPr>
          <w:rFonts w:asciiTheme="majorBidi" w:hAnsiTheme="majorBidi" w:cstheme="majorBidi"/>
          <w:bCs/>
          <w:iCs/>
          <w:color w:val="000000"/>
        </w:rPr>
      </w:pPr>
      <w:r w:rsidRPr="004B14A6">
        <w:rPr>
          <w:bCs/>
          <w:iCs/>
          <w:color w:val="000000"/>
        </w:rPr>
        <w:t>Le taux de change moyen du franc CFA par rapport au dollar est resté quasiment stable à</w:t>
      </w:r>
      <w:r>
        <w:rPr>
          <w:bCs/>
          <w:iCs/>
          <w:color w:val="000000"/>
        </w:rPr>
        <w:t xml:space="preserve"> </w:t>
      </w:r>
      <w:r w:rsidRPr="00446D29">
        <w:rPr>
          <w:bCs/>
          <w:iCs/>
          <w:color w:val="000000"/>
        </w:rPr>
        <w:t>588,2</w:t>
      </w:r>
      <w:r>
        <w:rPr>
          <w:bCs/>
          <w:iCs/>
          <w:color w:val="000000"/>
        </w:rPr>
        <w:t>1</w:t>
      </w:r>
      <w:r w:rsidRPr="00446D29">
        <w:rPr>
          <w:bCs/>
          <w:iCs/>
          <w:color w:val="000000"/>
        </w:rPr>
        <w:t xml:space="preserve"> FCFA pour 1 dollar américain.</w:t>
      </w:r>
    </w:p>
    <w:p w:rsidR="008F715D" w:rsidRPr="00CB1F5B" w:rsidRDefault="008F715D" w:rsidP="008F715D">
      <w:pPr>
        <w:jc w:val="both"/>
        <w:rPr>
          <w:rFonts w:asciiTheme="majorBidi" w:hAnsiTheme="majorBidi" w:cstheme="majorBidi"/>
        </w:rPr>
      </w:pPr>
    </w:p>
    <w:p w:rsidR="008F715D" w:rsidRDefault="008F715D" w:rsidP="008F715D">
      <w:pPr>
        <w:tabs>
          <w:tab w:val="left" w:pos="3675"/>
        </w:tabs>
        <w:ind w:right="44"/>
        <w:jc w:val="both"/>
        <w:rPr>
          <w:rFonts w:asciiTheme="majorBidi" w:hAnsiTheme="majorBidi" w:cstheme="majorBidi"/>
          <w:b/>
          <w:bCs/>
          <w:i/>
          <w:iCs/>
          <w:color w:val="000000"/>
        </w:rPr>
      </w:pPr>
      <w:r w:rsidRPr="00CB1F5B">
        <w:rPr>
          <w:rFonts w:asciiTheme="majorBidi" w:hAnsiTheme="majorBidi" w:cstheme="majorBidi"/>
          <w:b/>
          <w:bCs/>
          <w:i/>
          <w:iCs/>
          <w:color w:val="000000"/>
        </w:rPr>
        <w:t>Evolution de l’activité pétrolière</w:t>
      </w:r>
    </w:p>
    <w:tbl>
      <w:tblPr>
        <w:tblW w:w="8946" w:type="dxa"/>
        <w:tblInd w:w="55" w:type="dxa"/>
        <w:tblCellMar>
          <w:left w:w="70" w:type="dxa"/>
          <w:right w:w="70" w:type="dxa"/>
        </w:tblCellMar>
        <w:tblLook w:val="04A0"/>
      </w:tblPr>
      <w:tblGrid>
        <w:gridCol w:w="4840"/>
        <w:gridCol w:w="1532"/>
        <w:gridCol w:w="1305"/>
        <w:gridCol w:w="1269"/>
      </w:tblGrid>
      <w:tr w:rsidR="008F715D" w:rsidRPr="00EB174D"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 </w:t>
            </w:r>
          </w:p>
        </w:tc>
        <w:tc>
          <w:tcPr>
            <w:tcW w:w="4106"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rPr>
                <w:color w:val="000000"/>
              </w:rPr>
            </w:pPr>
            <w:r w:rsidRPr="00EB174D">
              <w:rPr>
                <w:color w:val="000000"/>
                <w:sz w:val="22"/>
                <w:szCs w:val="22"/>
              </w:rPr>
              <w:t>Premier semestre</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 </w:t>
            </w:r>
          </w:p>
        </w:tc>
        <w:tc>
          <w:tcPr>
            <w:tcW w:w="153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rPr>
                <w:color w:val="000000"/>
              </w:rPr>
            </w:pPr>
            <w:r w:rsidRPr="00EB174D">
              <w:rPr>
                <w:color w:val="000000"/>
                <w:sz w:val="22"/>
                <w:szCs w:val="22"/>
              </w:rPr>
              <w:t>2015</w:t>
            </w:r>
          </w:p>
        </w:tc>
        <w:tc>
          <w:tcPr>
            <w:tcW w:w="1305"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rPr>
                <w:color w:val="000000"/>
              </w:rPr>
            </w:pPr>
            <w:r w:rsidRPr="00EB174D">
              <w:rPr>
                <w:color w:val="000000"/>
                <w:sz w:val="22"/>
                <w:szCs w:val="22"/>
              </w:rPr>
              <w:t>2016</w:t>
            </w:r>
          </w:p>
        </w:tc>
        <w:tc>
          <w:tcPr>
            <w:tcW w:w="1269"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Var 16/15</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Production (en millions de tonnes)</w:t>
            </w:r>
          </w:p>
        </w:tc>
        <w:tc>
          <w:tcPr>
            <w:tcW w:w="153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5,787</w:t>
            </w:r>
          </w:p>
        </w:tc>
        <w:tc>
          <w:tcPr>
            <w:tcW w:w="1305"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5,774</w:t>
            </w:r>
          </w:p>
        </w:tc>
        <w:tc>
          <w:tcPr>
            <w:tcW w:w="1269"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rPr>
                <w:color w:val="FF0000"/>
              </w:rPr>
            </w:pPr>
            <w:r w:rsidRPr="00EB174D">
              <w:rPr>
                <w:color w:val="FF0000"/>
                <w:sz w:val="22"/>
                <w:szCs w:val="22"/>
              </w:rPr>
              <w:t>-0,2%</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Exportation (en millions de tonnes)</w:t>
            </w:r>
          </w:p>
        </w:tc>
        <w:tc>
          <w:tcPr>
            <w:tcW w:w="153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5,370</w:t>
            </w:r>
          </w:p>
        </w:tc>
        <w:tc>
          <w:tcPr>
            <w:tcW w:w="1305"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5,446</w:t>
            </w:r>
          </w:p>
        </w:tc>
        <w:tc>
          <w:tcPr>
            <w:tcW w:w="1269"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1,4%</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Prix moyen du Brent ($US/bbl)</w:t>
            </w:r>
          </w:p>
        </w:tc>
        <w:tc>
          <w:tcPr>
            <w:tcW w:w="153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57,947</w:t>
            </w:r>
          </w:p>
        </w:tc>
        <w:tc>
          <w:tcPr>
            <w:tcW w:w="1305"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47,91</w:t>
            </w:r>
          </w:p>
        </w:tc>
        <w:tc>
          <w:tcPr>
            <w:tcW w:w="1269"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rPr>
                <w:color w:val="FF0000"/>
              </w:rPr>
            </w:pPr>
            <w:r w:rsidRPr="00EB174D">
              <w:rPr>
                <w:color w:val="FF0000"/>
                <w:sz w:val="22"/>
                <w:szCs w:val="22"/>
              </w:rPr>
              <w:t>-17,3%</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Prix moyen du brut gabonais ($US/bbl)</w:t>
            </w:r>
          </w:p>
        </w:tc>
        <w:tc>
          <w:tcPr>
            <w:tcW w:w="153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53,710</w:t>
            </w:r>
          </w:p>
        </w:tc>
        <w:tc>
          <w:tcPr>
            <w:tcW w:w="1305"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36,09</w:t>
            </w:r>
          </w:p>
        </w:tc>
        <w:tc>
          <w:tcPr>
            <w:tcW w:w="1269"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rPr>
                <w:color w:val="FF0000"/>
              </w:rPr>
            </w:pPr>
            <w:r w:rsidRPr="00EB174D">
              <w:rPr>
                <w:color w:val="FF0000"/>
                <w:sz w:val="22"/>
                <w:szCs w:val="22"/>
              </w:rPr>
              <w:t>-32,8%</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Taux de change ($US/FCFA)</w:t>
            </w:r>
          </w:p>
        </w:tc>
        <w:tc>
          <w:tcPr>
            <w:tcW w:w="153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588,374</w:t>
            </w:r>
          </w:p>
        </w:tc>
        <w:tc>
          <w:tcPr>
            <w:tcW w:w="1305"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588,21</w:t>
            </w:r>
          </w:p>
        </w:tc>
        <w:tc>
          <w:tcPr>
            <w:tcW w:w="1269"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0,0%</w:t>
            </w:r>
          </w:p>
        </w:tc>
      </w:tr>
    </w:tbl>
    <w:p w:rsidR="008F715D" w:rsidRPr="00D149B6" w:rsidRDefault="008F715D" w:rsidP="008F715D">
      <w:pPr>
        <w:ind w:right="44"/>
        <w:rPr>
          <w:rFonts w:asciiTheme="majorBidi" w:hAnsiTheme="majorBidi" w:cstheme="majorBidi"/>
          <w:b/>
          <w:i/>
          <w:sz w:val="16"/>
          <w:szCs w:val="16"/>
        </w:rPr>
      </w:pPr>
      <w:r w:rsidRPr="00D149B6">
        <w:rPr>
          <w:rFonts w:asciiTheme="majorBidi" w:hAnsiTheme="majorBidi" w:cstheme="majorBidi"/>
          <w:b/>
          <w:i/>
          <w:sz w:val="16"/>
          <w:szCs w:val="16"/>
        </w:rPr>
        <w:t>Source : Direction Générale des Hydrocarbures (DGH)</w:t>
      </w:r>
    </w:p>
    <w:p w:rsidR="008F715D" w:rsidRPr="00D149B6" w:rsidRDefault="008F715D" w:rsidP="008F715D">
      <w:pPr>
        <w:jc w:val="both"/>
        <w:rPr>
          <w:rFonts w:asciiTheme="majorBidi" w:hAnsiTheme="majorBidi" w:cstheme="majorBidi"/>
        </w:rPr>
      </w:pPr>
    </w:p>
    <w:p w:rsidR="008F715D" w:rsidRPr="00244224" w:rsidRDefault="008F715D" w:rsidP="008F715D">
      <w:pPr>
        <w:jc w:val="both"/>
        <w:rPr>
          <w:rFonts w:asciiTheme="majorBidi" w:hAnsiTheme="majorBidi" w:cstheme="majorBidi"/>
        </w:rPr>
      </w:pPr>
      <w:bookmarkStart w:id="31" w:name="_Toc420027510"/>
      <w:bookmarkStart w:id="32" w:name="_Toc356891300"/>
      <w:bookmarkStart w:id="33" w:name="_Toc389653127"/>
      <w:bookmarkStart w:id="34" w:name="_Toc389653355"/>
      <w:bookmarkEnd w:id="29"/>
      <w:bookmarkEnd w:id="30"/>
    </w:p>
    <w:p w:rsidR="008F715D" w:rsidRPr="00C04762" w:rsidRDefault="008F715D" w:rsidP="008F715D">
      <w:pPr>
        <w:pStyle w:val="Titre2"/>
        <w:rPr>
          <w:rFonts w:asciiTheme="majorBidi" w:hAnsiTheme="majorBidi" w:cstheme="majorBidi"/>
          <w:b/>
          <w:bCs/>
          <w:i w:val="0"/>
          <w:color w:val="0000FF"/>
          <w:sz w:val="24"/>
        </w:rPr>
      </w:pPr>
      <w:bookmarkStart w:id="35" w:name="_Toc423616476"/>
      <w:bookmarkStart w:id="36" w:name="_Toc462990806"/>
      <w:r w:rsidRPr="00C04762">
        <w:rPr>
          <w:rFonts w:asciiTheme="majorBidi" w:hAnsiTheme="majorBidi" w:cstheme="majorBidi"/>
          <w:b/>
          <w:bCs/>
          <w:i w:val="0"/>
          <w:color w:val="0000FF"/>
          <w:sz w:val="24"/>
        </w:rPr>
        <w:t>I</w:t>
      </w:r>
      <w:r>
        <w:rPr>
          <w:rFonts w:asciiTheme="majorBidi" w:hAnsiTheme="majorBidi" w:cstheme="majorBidi"/>
          <w:b/>
          <w:bCs/>
          <w:i w:val="0"/>
          <w:color w:val="0000FF"/>
          <w:sz w:val="24"/>
        </w:rPr>
        <w:t>I</w:t>
      </w:r>
      <w:r w:rsidRPr="00C04762">
        <w:rPr>
          <w:rFonts w:asciiTheme="majorBidi" w:hAnsiTheme="majorBidi" w:cstheme="majorBidi"/>
          <w:b/>
          <w:bCs/>
          <w:i w:val="0"/>
          <w:color w:val="0000FF"/>
          <w:sz w:val="24"/>
        </w:rPr>
        <w:t>.</w:t>
      </w:r>
      <w:r>
        <w:rPr>
          <w:rFonts w:asciiTheme="majorBidi" w:hAnsiTheme="majorBidi" w:cstheme="majorBidi"/>
          <w:b/>
          <w:bCs/>
          <w:i w:val="0"/>
          <w:color w:val="0000FF"/>
          <w:sz w:val="24"/>
        </w:rPr>
        <w:t>3</w:t>
      </w:r>
      <w:r w:rsidRPr="00C04762">
        <w:rPr>
          <w:rFonts w:asciiTheme="majorBidi" w:hAnsiTheme="majorBidi" w:cstheme="majorBidi"/>
          <w:b/>
          <w:bCs/>
          <w:i w:val="0"/>
          <w:color w:val="0000FF"/>
          <w:sz w:val="24"/>
        </w:rPr>
        <w:t>.</w:t>
      </w:r>
      <w:r>
        <w:rPr>
          <w:rFonts w:asciiTheme="majorBidi" w:hAnsiTheme="majorBidi" w:cstheme="majorBidi"/>
          <w:b/>
          <w:bCs/>
          <w:i w:val="0"/>
          <w:color w:val="0000FF"/>
          <w:sz w:val="24"/>
        </w:rPr>
        <w:t xml:space="preserve"> </w:t>
      </w:r>
      <w:r w:rsidRPr="00C04762">
        <w:rPr>
          <w:rFonts w:asciiTheme="majorBidi" w:hAnsiTheme="majorBidi" w:cstheme="majorBidi"/>
          <w:b/>
          <w:bCs/>
          <w:i w:val="0"/>
          <w:color w:val="0000FF"/>
          <w:sz w:val="24"/>
        </w:rPr>
        <w:t>LE GAZ NATUREL COMMERCIALISE</w:t>
      </w:r>
      <w:bookmarkEnd w:id="35"/>
      <w:bookmarkEnd w:id="36"/>
    </w:p>
    <w:p w:rsidR="008F715D" w:rsidRPr="00C04762" w:rsidRDefault="008F715D" w:rsidP="008F715D">
      <w:pPr>
        <w:jc w:val="both"/>
        <w:rPr>
          <w:rFonts w:asciiTheme="majorBidi" w:hAnsiTheme="majorBidi" w:cstheme="majorBidi"/>
        </w:rPr>
      </w:pPr>
    </w:p>
    <w:p w:rsidR="008F715D" w:rsidRDefault="008F715D" w:rsidP="008F715D">
      <w:pPr>
        <w:ind w:right="-680"/>
        <w:jc w:val="both"/>
        <w:rPr>
          <w:rFonts w:asciiTheme="majorBidi" w:hAnsiTheme="majorBidi" w:cstheme="majorBidi"/>
        </w:rPr>
      </w:pPr>
      <w:r w:rsidRPr="003B675E">
        <w:rPr>
          <w:rFonts w:asciiTheme="majorBidi" w:hAnsiTheme="majorBidi" w:cstheme="majorBidi"/>
        </w:rPr>
        <w:t xml:space="preserve">La production de gaz naturel commercialisé par les trois compagnies pétrolières (Total Gabon, Shell Gabon </w:t>
      </w:r>
      <w:r>
        <w:rPr>
          <w:rFonts w:asciiTheme="majorBidi" w:hAnsiTheme="majorBidi" w:cstheme="majorBidi"/>
        </w:rPr>
        <w:t>et Perenco) a atteint 28</w:t>
      </w:r>
      <w:r w:rsidRPr="003B675E">
        <w:rPr>
          <w:rFonts w:asciiTheme="majorBidi" w:hAnsiTheme="majorBidi" w:cstheme="majorBidi"/>
        </w:rPr>
        <w:t>2 3</w:t>
      </w:r>
      <w:r>
        <w:rPr>
          <w:rFonts w:asciiTheme="majorBidi" w:hAnsiTheme="majorBidi" w:cstheme="majorBidi"/>
        </w:rPr>
        <w:t>6</w:t>
      </w:r>
      <w:r w:rsidRPr="003B675E">
        <w:rPr>
          <w:rFonts w:asciiTheme="majorBidi" w:hAnsiTheme="majorBidi" w:cstheme="majorBidi"/>
        </w:rPr>
        <w:t xml:space="preserve">6 </w:t>
      </w:r>
      <w:r>
        <w:rPr>
          <w:rFonts w:asciiTheme="majorBidi" w:hAnsiTheme="majorBidi" w:cstheme="majorBidi"/>
        </w:rPr>
        <w:t xml:space="preserve">milliers de </w:t>
      </w:r>
      <w:r w:rsidRPr="003B675E">
        <w:rPr>
          <w:rFonts w:asciiTheme="majorBidi" w:hAnsiTheme="majorBidi" w:cstheme="majorBidi"/>
        </w:rPr>
        <w:t>m3 à fin juin 201</w:t>
      </w:r>
      <w:r>
        <w:rPr>
          <w:rFonts w:asciiTheme="majorBidi" w:hAnsiTheme="majorBidi" w:cstheme="majorBidi"/>
        </w:rPr>
        <w:t>6</w:t>
      </w:r>
      <w:r w:rsidRPr="003B675E">
        <w:rPr>
          <w:rFonts w:asciiTheme="majorBidi" w:hAnsiTheme="majorBidi" w:cstheme="majorBidi"/>
        </w:rPr>
        <w:t>, soit une hausse de 1</w:t>
      </w:r>
      <w:r>
        <w:rPr>
          <w:rFonts w:asciiTheme="majorBidi" w:hAnsiTheme="majorBidi" w:cstheme="majorBidi"/>
        </w:rPr>
        <w:t>4</w:t>
      </w:r>
      <w:r w:rsidRPr="003B675E">
        <w:rPr>
          <w:rFonts w:asciiTheme="majorBidi" w:hAnsiTheme="majorBidi" w:cstheme="majorBidi"/>
        </w:rPr>
        <w:t xml:space="preserve">% par </w:t>
      </w:r>
      <w:r w:rsidRPr="003B675E">
        <w:rPr>
          <w:rFonts w:asciiTheme="majorBidi" w:hAnsiTheme="majorBidi" w:cstheme="majorBidi"/>
        </w:rPr>
        <w:lastRenderedPageBreak/>
        <w:t>rapport aux</w:t>
      </w:r>
      <w:r w:rsidRPr="00E97B4D">
        <w:rPr>
          <w:rFonts w:asciiTheme="majorBidi" w:hAnsiTheme="majorBidi" w:cstheme="majorBidi"/>
        </w:rPr>
        <w:t xml:space="preserve"> réalisations du premier semestre 201</w:t>
      </w:r>
      <w:r>
        <w:rPr>
          <w:rFonts w:asciiTheme="majorBidi" w:hAnsiTheme="majorBidi" w:cstheme="majorBidi"/>
        </w:rPr>
        <w:t>5</w:t>
      </w:r>
      <w:r w:rsidRPr="00E97B4D">
        <w:rPr>
          <w:rFonts w:asciiTheme="majorBidi" w:hAnsiTheme="majorBidi" w:cstheme="majorBidi"/>
        </w:rPr>
        <w:t xml:space="preserve"> (2</w:t>
      </w:r>
      <w:r>
        <w:rPr>
          <w:rFonts w:asciiTheme="majorBidi" w:hAnsiTheme="majorBidi" w:cstheme="majorBidi"/>
        </w:rPr>
        <w:t>47 669 mille</w:t>
      </w:r>
      <w:r w:rsidRPr="00E97B4D">
        <w:rPr>
          <w:rFonts w:asciiTheme="majorBidi" w:hAnsiTheme="majorBidi" w:cstheme="majorBidi"/>
        </w:rPr>
        <w:t xml:space="preserve"> m3).</w:t>
      </w:r>
      <w:r>
        <w:rPr>
          <w:rFonts w:asciiTheme="majorBidi" w:hAnsiTheme="majorBidi" w:cstheme="majorBidi"/>
        </w:rPr>
        <w:t xml:space="preserve"> </w:t>
      </w:r>
      <w:r w:rsidRPr="00E97B4D">
        <w:rPr>
          <w:rFonts w:asciiTheme="majorBidi" w:hAnsiTheme="majorBidi" w:cstheme="majorBidi"/>
        </w:rPr>
        <w:t>Cette embelli</w:t>
      </w:r>
      <w:r>
        <w:rPr>
          <w:rFonts w:asciiTheme="majorBidi" w:hAnsiTheme="majorBidi" w:cstheme="majorBidi"/>
        </w:rPr>
        <w:t xml:space="preserve">e résulte essentiellement des bonnes </w:t>
      </w:r>
      <w:r w:rsidRPr="00E97B4D">
        <w:rPr>
          <w:rFonts w:asciiTheme="majorBidi" w:hAnsiTheme="majorBidi" w:cstheme="majorBidi"/>
        </w:rPr>
        <w:t xml:space="preserve">performances </w:t>
      </w:r>
      <w:r>
        <w:rPr>
          <w:rFonts w:asciiTheme="majorBidi" w:hAnsiTheme="majorBidi" w:cstheme="majorBidi"/>
        </w:rPr>
        <w:t xml:space="preserve">de </w:t>
      </w:r>
      <w:r w:rsidRPr="00E97B4D">
        <w:rPr>
          <w:rFonts w:asciiTheme="majorBidi" w:hAnsiTheme="majorBidi" w:cstheme="majorBidi"/>
        </w:rPr>
        <w:t>Perenco</w:t>
      </w:r>
      <w:r>
        <w:rPr>
          <w:rFonts w:asciiTheme="majorBidi" w:hAnsiTheme="majorBidi" w:cstheme="majorBidi"/>
        </w:rPr>
        <w:t xml:space="preserve"> le principal opérateur dont la production augment de 14,48%. Sur la même période, le prix moyen du mètre cube de gaz a augmenté de 50% atteignant 0,195 USD contre 0,130 USD en 2015.</w:t>
      </w:r>
    </w:p>
    <w:p w:rsidR="008F715D" w:rsidRDefault="008F715D" w:rsidP="008F715D">
      <w:pPr>
        <w:ind w:right="-680"/>
        <w:jc w:val="both"/>
        <w:rPr>
          <w:rFonts w:asciiTheme="majorBidi" w:hAnsiTheme="majorBidi" w:cstheme="majorBidi"/>
        </w:rPr>
      </w:pPr>
    </w:p>
    <w:p w:rsidR="008F715D" w:rsidRDefault="008F715D" w:rsidP="008F715D">
      <w:pPr>
        <w:ind w:right="44"/>
        <w:jc w:val="both"/>
        <w:rPr>
          <w:rFonts w:asciiTheme="majorBidi" w:hAnsiTheme="majorBidi" w:cstheme="majorBidi"/>
          <w:b/>
          <w:bCs/>
          <w:i/>
          <w:iCs/>
          <w:color w:val="000000"/>
          <w:sz w:val="22"/>
          <w:szCs w:val="22"/>
        </w:rPr>
      </w:pPr>
      <w:r w:rsidRPr="00C04762">
        <w:rPr>
          <w:rFonts w:asciiTheme="majorBidi" w:hAnsiTheme="majorBidi" w:cstheme="majorBidi"/>
          <w:b/>
          <w:bCs/>
          <w:i/>
          <w:iCs/>
          <w:color w:val="000000"/>
          <w:sz w:val="22"/>
          <w:szCs w:val="22"/>
        </w:rPr>
        <w:t>Evolution de l’activité de production du gaz naturel commercialisé</w:t>
      </w:r>
    </w:p>
    <w:p w:rsidR="008F715D" w:rsidRDefault="008F715D" w:rsidP="008F715D">
      <w:pPr>
        <w:jc w:val="both"/>
        <w:rPr>
          <w:rFonts w:asciiTheme="majorBidi" w:hAnsiTheme="majorBidi" w:cstheme="majorBidi"/>
        </w:rPr>
      </w:pPr>
    </w:p>
    <w:tbl>
      <w:tblPr>
        <w:tblW w:w="8893" w:type="dxa"/>
        <w:tblInd w:w="57" w:type="dxa"/>
        <w:tblCellMar>
          <w:left w:w="70" w:type="dxa"/>
          <w:right w:w="70" w:type="dxa"/>
        </w:tblCellMar>
        <w:tblLook w:val="04A0"/>
      </w:tblPr>
      <w:tblGrid>
        <w:gridCol w:w="2100"/>
        <w:gridCol w:w="2318"/>
        <w:gridCol w:w="1231"/>
        <w:gridCol w:w="992"/>
        <w:gridCol w:w="993"/>
        <w:gridCol w:w="1259"/>
      </w:tblGrid>
      <w:tr w:rsidR="008F715D" w:rsidRPr="005E02E6" w:rsidTr="002105A0">
        <w:trPr>
          <w:trHeight w:val="375"/>
        </w:trPr>
        <w:tc>
          <w:tcPr>
            <w:tcW w:w="2100" w:type="dxa"/>
            <w:tcBorders>
              <w:top w:val="nil"/>
              <w:left w:val="nil"/>
              <w:bottom w:val="nil"/>
              <w:right w:val="nil"/>
            </w:tcBorders>
            <w:shd w:val="clear" w:color="auto" w:fill="auto"/>
            <w:noWrap/>
            <w:vAlign w:val="bottom"/>
            <w:hideMark/>
          </w:tcPr>
          <w:p w:rsidR="008F715D" w:rsidRPr="005E02E6" w:rsidRDefault="008F715D" w:rsidP="002105A0">
            <w:pPr>
              <w:rPr>
                <w:rFonts w:ascii="Calibri" w:hAnsi="Calibri" w:cs="Calibri"/>
                <w:color w:val="000000"/>
              </w:rPr>
            </w:pPr>
          </w:p>
        </w:tc>
        <w:tc>
          <w:tcPr>
            <w:tcW w:w="2318" w:type="dxa"/>
            <w:tcBorders>
              <w:top w:val="nil"/>
              <w:left w:val="nil"/>
              <w:bottom w:val="nil"/>
              <w:right w:val="nil"/>
            </w:tcBorders>
            <w:shd w:val="clear" w:color="auto" w:fill="auto"/>
            <w:noWrap/>
            <w:vAlign w:val="bottom"/>
            <w:hideMark/>
          </w:tcPr>
          <w:p w:rsidR="008F715D" w:rsidRPr="005E02E6" w:rsidRDefault="008F715D" w:rsidP="002105A0">
            <w:pPr>
              <w:rPr>
                <w:rFonts w:ascii="Calibri" w:hAnsi="Calibri" w:cs="Calibri"/>
                <w:color w:val="000000"/>
              </w:rPr>
            </w:pPr>
          </w:p>
        </w:tc>
        <w:tc>
          <w:tcPr>
            <w:tcW w:w="1231" w:type="dxa"/>
            <w:tcBorders>
              <w:top w:val="single" w:sz="4" w:space="0" w:color="auto"/>
              <w:left w:val="single" w:sz="4" w:space="0" w:color="auto"/>
              <w:bottom w:val="single" w:sz="4" w:space="0" w:color="auto"/>
              <w:right w:val="nil"/>
            </w:tcBorders>
            <w:shd w:val="clear" w:color="000000" w:fill="DBE5F1"/>
            <w:noWrap/>
            <w:vAlign w:val="bottom"/>
            <w:hideMark/>
          </w:tcPr>
          <w:p w:rsidR="008F715D" w:rsidRPr="005E02E6" w:rsidRDefault="008F715D" w:rsidP="002105A0">
            <w:pPr>
              <w:jc w:val="center"/>
              <w:rPr>
                <w:rFonts w:ascii="Calibri" w:hAnsi="Calibri" w:cs="Calibri"/>
                <w:b/>
                <w:color w:val="548DD4" w:themeColor="text2" w:themeTint="99"/>
              </w:rPr>
            </w:pPr>
          </w:p>
        </w:tc>
        <w:tc>
          <w:tcPr>
            <w:tcW w:w="1985" w:type="dxa"/>
            <w:gridSpan w:val="2"/>
            <w:tcBorders>
              <w:top w:val="single" w:sz="4" w:space="0" w:color="auto"/>
              <w:left w:val="nil"/>
              <w:bottom w:val="single" w:sz="4" w:space="0" w:color="auto"/>
              <w:right w:val="nil"/>
            </w:tcBorders>
            <w:shd w:val="clear" w:color="000000" w:fill="DBE5F1"/>
            <w:noWrap/>
            <w:vAlign w:val="bottom"/>
            <w:hideMark/>
          </w:tcPr>
          <w:p w:rsidR="008F715D" w:rsidRPr="005E02E6" w:rsidRDefault="008F715D" w:rsidP="002105A0">
            <w:pPr>
              <w:jc w:val="center"/>
              <w:rPr>
                <w:rFonts w:ascii="Calibri" w:hAnsi="Calibri" w:cs="Calibri"/>
                <w:b/>
                <w:color w:val="548DD4" w:themeColor="text2" w:themeTint="99"/>
              </w:rPr>
            </w:pPr>
            <w:r w:rsidRPr="005E02E6">
              <w:rPr>
                <w:rFonts w:ascii="Calibri" w:hAnsi="Calibri" w:cs="Calibri"/>
                <w:b/>
                <w:color w:val="548DD4" w:themeColor="text2" w:themeTint="99"/>
                <w:sz w:val="22"/>
                <w:szCs w:val="22"/>
              </w:rPr>
              <w:t>1er semestre</w:t>
            </w:r>
          </w:p>
        </w:tc>
        <w:tc>
          <w:tcPr>
            <w:tcW w:w="1259" w:type="dxa"/>
            <w:tcBorders>
              <w:top w:val="single" w:sz="4" w:space="0" w:color="auto"/>
              <w:left w:val="single" w:sz="4" w:space="0" w:color="auto"/>
              <w:bottom w:val="nil"/>
              <w:right w:val="single" w:sz="4" w:space="0" w:color="auto"/>
            </w:tcBorders>
            <w:shd w:val="clear" w:color="000000" w:fill="DBE5F1"/>
            <w:noWrap/>
            <w:vAlign w:val="bottom"/>
            <w:hideMark/>
          </w:tcPr>
          <w:p w:rsidR="008F715D" w:rsidRPr="005E02E6" w:rsidRDefault="008F715D" w:rsidP="002105A0">
            <w:pPr>
              <w:jc w:val="center"/>
              <w:rPr>
                <w:rFonts w:ascii="Calibri" w:hAnsi="Calibri" w:cs="Calibri"/>
                <w:b/>
                <w:color w:val="548DD4" w:themeColor="text2" w:themeTint="99"/>
                <w:sz w:val="28"/>
                <w:szCs w:val="28"/>
              </w:rPr>
            </w:pPr>
            <w:r w:rsidRPr="005E02E6">
              <w:rPr>
                <w:rFonts w:ascii="Calibri" w:hAnsi="Calibri" w:cs="Calibri"/>
                <w:b/>
                <w:color w:val="548DD4" w:themeColor="text2" w:themeTint="99"/>
                <w:sz w:val="28"/>
                <w:szCs w:val="28"/>
              </w:rPr>
              <w:t>var</w:t>
            </w:r>
          </w:p>
        </w:tc>
      </w:tr>
      <w:tr w:rsidR="008F715D" w:rsidRPr="005E02E6" w:rsidTr="002105A0">
        <w:trPr>
          <w:trHeight w:val="375"/>
        </w:trPr>
        <w:tc>
          <w:tcPr>
            <w:tcW w:w="2100" w:type="dxa"/>
            <w:tcBorders>
              <w:top w:val="nil"/>
              <w:left w:val="nil"/>
              <w:bottom w:val="nil"/>
              <w:right w:val="nil"/>
            </w:tcBorders>
            <w:shd w:val="clear" w:color="auto" w:fill="auto"/>
            <w:noWrap/>
            <w:vAlign w:val="bottom"/>
            <w:hideMark/>
          </w:tcPr>
          <w:p w:rsidR="008F715D" w:rsidRPr="005E02E6" w:rsidRDefault="008F715D" w:rsidP="002105A0">
            <w:pPr>
              <w:rPr>
                <w:rFonts w:ascii="Calibri" w:hAnsi="Calibri" w:cs="Calibri"/>
                <w:color w:val="000000"/>
              </w:rPr>
            </w:pPr>
          </w:p>
        </w:tc>
        <w:tc>
          <w:tcPr>
            <w:tcW w:w="2318" w:type="dxa"/>
            <w:tcBorders>
              <w:top w:val="nil"/>
              <w:left w:val="nil"/>
              <w:bottom w:val="nil"/>
              <w:right w:val="nil"/>
            </w:tcBorders>
            <w:shd w:val="clear" w:color="auto" w:fill="auto"/>
            <w:noWrap/>
            <w:vAlign w:val="bottom"/>
            <w:hideMark/>
          </w:tcPr>
          <w:p w:rsidR="008F715D" w:rsidRPr="005E02E6" w:rsidRDefault="008F715D" w:rsidP="002105A0">
            <w:pPr>
              <w:rPr>
                <w:rFonts w:ascii="Calibri" w:hAnsi="Calibri" w:cs="Calibri"/>
                <w:color w:val="000000"/>
              </w:rPr>
            </w:pPr>
          </w:p>
        </w:tc>
        <w:tc>
          <w:tcPr>
            <w:tcW w:w="1231" w:type="dxa"/>
            <w:tcBorders>
              <w:top w:val="nil"/>
              <w:left w:val="single" w:sz="4" w:space="0" w:color="auto"/>
              <w:bottom w:val="single" w:sz="4" w:space="0" w:color="auto"/>
              <w:right w:val="single" w:sz="4" w:space="0" w:color="auto"/>
            </w:tcBorders>
            <w:shd w:val="clear" w:color="000000" w:fill="DBE5F1"/>
            <w:noWrap/>
            <w:vAlign w:val="bottom"/>
            <w:hideMark/>
          </w:tcPr>
          <w:p w:rsidR="008F715D" w:rsidRPr="005E02E6" w:rsidRDefault="008F715D" w:rsidP="002105A0">
            <w:pPr>
              <w:jc w:val="center"/>
              <w:rPr>
                <w:rFonts w:ascii="Calibri" w:hAnsi="Calibri" w:cs="Calibri"/>
                <w:b/>
                <w:color w:val="548DD4" w:themeColor="text2" w:themeTint="99"/>
              </w:rPr>
            </w:pPr>
            <w:r w:rsidRPr="005E02E6">
              <w:rPr>
                <w:rFonts w:ascii="Calibri" w:hAnsi="Calibri" w:cs="Calibri"/>
                <w:b/>
                <w:color w:val="548DD4" w:themeColor="text2" w:themeTint="99"/>
                <w:sz w:val="22"/>
                <w:szCs w:val="22"/>
              </w:rPr>
              <w:t>2014</w:t>
            </w:r>
          </w:p>
        </w:tc>
        <w:tc>
          <w:tcPr>
            <w:tcW w:w="992" w:type="dxa"/>
            <w:tcBorders>
              <w:top w:val="nil"/>
              <w:left w:val="nil"/>
              <w:bottom w:val="single" w:sz="4" w:space="0" w:color="auto"/>
              <w:right w:val="single" w:sz="4" w:space="0" w:color="auto"/>
            </w:tcBorders>
            <w:shd w:val="clear" w:color="000000" w:fill="DBE5F1"/>
            <w:noWrap/>
            <w:vAlign w:val="bottom"/>
            <w:hideMark/>
          </w:tcPr>
          <w:p w:rsidR="008F715D" w:rsidRPr="005E02E6" w:rsidRDefault="008F715D" w:rsidP="002105A0">
            <w:pPr>
              <w:jc w:val="center"/>
              <w:rPr>
                <w:rFonts w:ascii="Calibri" w:hAnsi="Calibri" w:cs="Calibri"/>
                <w:b/>
                <w:color w:val="548DD4" w:themeColor="text2" w:themeTint="99"/>
              </w:rPr>
            </w:pPr>
            <w:r w:rsidRPr="005E02E6">
              <w:rPr>
                <w:rFonts w:ascii="Calibri" w:hAnsi="Calibri" w:cs="Calibri"/>
                <w:b/>
                <w:color w:val="548DD4" w:themeColor="text2" w:themeTint="99"/>
                <w:sz w:val="22"/>
                <w:szCs w:val="22"/>
              </w:rPr>
              <w:t>2015</w:t>
            </w:r>
          </w:p>
        </w:tc>
        <w:tc>
          <w:tcPr>
            <w:tcW w:w="993" w:type="dxa"/>
            <w:tcBorders>
              <w:top w:val="nil"/>
              <w:left w:val="nil"/>
              <w:bottom w:val="single" w:sz="4" w:space="0" w:color="auto"/>
              <w:right w:val="nil"/>
            </w:tcBorders>
            <w:shd w:val="clear" w:color="000000" w:fill="DBE5F1"/>
            <w:noWrap/>
            <w:vAlign w:val="bottom"/>
            <w:hideMark/>
          </w:tcPr>
          <w:p w:rsidR="008F715D" w:rsidRPr="005E02E6" w:rsidRDefault="008F715D" w:rsidP="002105A0">
            <w:pPr>
              <w:jc w:val="center"/>
              <w:rPr>
                <w:rFonts w:ascii="Calibri" w:hAnsi="Calibri" w:cs="Calibri"/>
                <w:b/>
                <w:color w:val="548DD4" w:themeColor="text2" w:themeTint="99"/>
              </w:rPr>
            </w:pPr>
            <w:r w:rsidRPr="005E02E6">
              <w:rPr>
                <w:rFonts w:ascii="Calibri" w:hAnsi="Calibri" w:cs="Calibri"/>
                <w:b/>
                <w:color w:val="548DD4" w:themeColor="text2" w:themeTint="99"/>
                <w:sz w:val="22"/>
                <w:szCs w:val="22"/>
              </w:rPr>
              <w:t>2016</w:t>
            </w:r>
          </w:p>
        </w:tc>
        <w:tc>
          <w:tcPr>
            <w:tcW w:w="1259" w:type="dxa"/>
            <w:tcBorders>
              <w:top w:val="nil"/>
              <w:left w:val="single" w:sz="4" w:space="0" w:color="auto"/>
              <w:bottom w:val="single" w:sz="4" w:space="0" w:color="auto"/>
              <w:right w:val="single" w:sz="4" w:space="0" w:color="auto"/>
            </w:tcBorders>
            <w:shd w:val="clear" w:color="000000" w:fill="DBE5F1"/>
            <w:noWrap/>
            <w:vAlign w:val="bottom"/>
            <w:hideMark/>
          </w:tcPr>
          <w:p w:rsidR="008F715D" w:rsidRPr="005E02E6" w:rsidRDefault="008F715D" w:rsidP="002105A0">
            <w:pPr>
              <w:jc w:val="center"/>
              <w:rPr>
                <w:rFonts w:ascii="Calibri" w:hAnsi="Calibri" w:cs="Calibri"/>
                <w:b/>
                <w:color w:val="548DD4" w:themeColor="text2" w:themeTint="99"/>
              </w:rPr>
            </w:pPr>
            <w:r w:rsidRPr="005E02E6">
              <w:rPr>
                <w:rFonts w:ascii="Calibri" w:hAnsi="Calibri" w:cs="Calibri"/>
                <w:b/>
                <w:color w:val="548DD4" w:themeColor="text2" w:themeTint="99"/>
                <w:sz w:val="22"/>
                <w:szCs w:val="22"/>
              </w:rPr>
              <w:t>2016/2015</w:t>
            </w:r>
          </w:p>
        </w:tc>
      </w:tr>
      <w:tr w:rsidR="008F715D" w:rsidRPr="005E02E6" w:rsidTr="002105A0">
        <w:trPr>
          <w:trHeight w:val="375"/>
        </w:trPr>
        <w:tc>
          <w:tcPr>
            <w:tcW w:w="4418" w:type="dxa"/>
            <w:gridSpan w:val="2"/>
            <w:tcBorders>
              <w:top w:val="single" w:sz="4" w:space="0" w:color="auto"/>
              <w:left w:val="single" w:sz="4" w:space="0" w:color="auto"/>
              <w:bottom w:val="single" w:sz="4" w:space="0" w:color="auto"/>
              <w:right w:val="single" w:sz="4" w:space="0" w:color="000000"/>
            </w:tcBorders>
            <w:shd w:val="clear" w:color="000000" w:fill="E6B9B8"/>
            <w:noWrap/>
            <w:vAlign w:val="bottom"/>
            <w:hideMark/>
          </w:tcPr>
          <w:p w:rsidR="008F715D" w:rsidRPr="005E02E6" w:rsidRDefault="008F715D" w:rsidP="002105A0">
            <w:pPr>
              <w:rPr>
                <w:rFonts w:ascii="Calibri" w:hAnsi="Calibri" w:cs="Calibri"/>
                <w:color w:val="000000"/>
              </w:rPr>
            </w:pPr>
            <w:r w:rsidRPr="005E02E6">
              <w:rPr>
                <w:rFonts w:ascii="Calibri" w:hAnsi="Calibri" w:cs="Calibri"/>
                <w:color w:val="000000"/>
                <w:sz w:val="22"/>
                <w:szCs w:val="22"/>
              </w:rPr>
              <w:t>Production commercialisée</w:t>
            </w:r>
            <w:r>
              <w:rPr>
                <w:rFonts w:ascii="Calibri" w:hAnsi="Calibri" w:cs="Calibri"/>
                <w:color w:val="000000"/>
                <w:sz w:val="22"/>
                <w:szCs w:val="22"/>
              </w:rPr>
              <w:t xml:space="preserve"> (en milliers de </w:t>
            </w:r>
            <w:r w:rsidRPr="00FB575B">
              <w:rPr>
                <w:color w:val="000000"/>
                <w:sz w:val="22"/>
                <w:szCs w:val="22"/>
              </w:rPr>
              <w:t>m3)</w:t>
            </w:r>
          </w:p>
        </w:tc>
        <w:tc>
          <w:tcPr>
            <w:tcW w:w="1231" w:type="dxa"/>
            <w:tcBorders>
              <w:top w:val="nil"/>
              <w:left w:val="single" w:sz="4" w:space="0" w:color="auto"/>
              <w:bottom w:val="single" w:sz="4" w:space="0" w:color="auto"/>
              <w:right w:val="single" w:sz="4" w:space="0" w:color="auto"/>
            </w:tcBorders>
            <w:shd w:val="clear" w:color="000000" w:fill="E6B9B8"/>
            <w:noWrap/>
            <w:vAlign w:val="bottom"/>
            <w:hideMark/>
          </w:tcPr>
          <w:p w:rsidR="008F715D" w:rsidRPr="0080115C" w:rsidRDefault="008F715D" w:rsidP="002105A0">
            <w:pPr>
              <w:jc w:val="center"/>
              <w:rPr>
                <w:rFonts w:ascii="Calibri" w:hAnsi="Calibri" w:cs="Calibri"/>
                <w:color w:val="000000"/>
              </w:rPr>
            </w:pPr>
            <w:r w:rsidRPr="0080115C">
              <w:rPr>
                <w:rFonts w:ascii="Calibri" w:hAnsi="Calibri" w:cs="Calibri"/>
                <w:color w:val="000000"/>
              </w:rPr>
              <w:t>221 128</w:t>
            </w:r>
          </w:p>
        </w:tc>
        <w:tc>
          <w:tcPr>
            <w:tcW w:w="992" w:type="dxa"/>
            <w:tcBorders>
              <w:top w:val="nil"/>
              <w:left w:val="nil"/>
              <w:bottom w:val="single" w:sz="4" w:space="0" w:color="auto"/>
              <w:right w:val="single" w:sz="4" w:space="0" w:color="auto"/>
            </w:tcBorders>
            <w:shd w:val="clear" w:color="000000" w:fill="E6B9B8"/>
            <w:noWrap/>
            <w:vAlign w:val="bottom"/>
            <w:hideMark/>
          </w:tcPr>
          <w:p w:rsidR="008F715D" w:rsidRPr="0080115C" w:rsidRDefault="008F715D" w:rsidP="002105A0">
            <w:pPr>
              <w:jc w:val="center"/>
              <w:rPr>
                <w:rFonts w:ascii="Calibri" w:hAnsi="Calibri" w:cs="Calibri"/>
                <w:color w:val="000000"/>
              </w:rPr>
            </w:pPr>
            <w:r w:rsidRPr="0080115C">
              <w:rPr>
                <w:rFonts w:ascii="Calibri" w:hAnsi="Calibri" w:cs="Calibri"/>
                <w:color w:val="000000"/>
              </w:rPr>
              <w:t>2</w:t>
            </w:r>
            <w:r>
              <w:rPr>
                <w:rFonts w:ascii="Calibri" w:hAnsi="Calibri" w:cs="Calibri"/>
                <w:color w:val="000000"/>
              </w:rPr>
              <w:t>47 669</w:t>
            </w:r>
          </w:p>
        </w:tc>
        <w:tc>
          <w:tcPr>
            <w:tcW w:w="993" w:type="dxa"/>
            <w:tcBorders>
              <w:top w:val="nil"/>
              <w:left w:val="nil"/>
              <w:bottom w:val="single" w:sz="4" w:space="0" w:color="auto"/>
              <w:right w:val="single" w:sz="4" w:space="0" w:color="auto"/>
            </w:tcBorders>
            <w:shd w:val="clear" w:color="000000" w:fill="E6B9B8"/>
            <w:noWrap/>
            <w:vAlign w:val="bottom"/>
            <w:hideMark/>
          </w:tcPr>
          <w:p w:rsidR="008F715D" w:rsidRPr="0080115C" w:rsidRDefault="008F715D" w:rsidP="002105A0">
            <w:pPr>
              <w:jc w:val="center"/>
              <w:rPr>
                <w:rFonts w:ascii="Calibri" w:hAnsi="Calibri" w:cs="Calibri"/>
                <w:color w:val="000000"/>
              </w:rPr>
            </w:pPr>
            <w:r w:rsidRPr="0080115C">
              <w:rPr>
                <w:rFonts w:ascii="Calibri" w:hAnsi="Calibri" w:cs="Calibri"/>
                <w:color w:val="000000"/>
              </w:rPr>
              <w:t>282 366</w:t>
            </w:r>
          </w:p>
        </w:tc>
        <w:tc>
          <w:tcPr>
            <w:tcW w:w="1259" w:type="dxa"/>
            <w:tcBorders>
              <w:top w:val="nil"/>
              <w:left w:val="nil"/>
              <w:bottom w:val="single" w:sz="4" w:space="0" w:color="auto"/>
              <w:right w:val="single" w:sz="4" w:space="0" w:color="auto"/>
            </w:tcBorders>
            <w:shd w:val="clear" w:color="000000" w:fill="E6B9B8"/>
            <w:noWrap/>
            <w:vAlign w:val="bottom"/>
            <w:hideMark/>
          </w:tcPr>
          <w:p w:rsidR="008F715D" w:rsidRPr="0080115C" w:rsidRDefault="008F715D" w:rsidP="002105A0">
            <w:pPr>
              <w:jc w:val="center"/>
              <w:rPr>
                <w:rFonts w:ascii="Calibri" w:hAnsi="Calibri" w:cs="Calibri"/>
                <w:color w:val="000000"/>
              </w:rPr>
            </w:pPr>
            <w:r w:rsidRPr="0080115C">
              <w:rPr>
                <w:rFonts w:ascii="Calibri" w:hAnsi="Calibri" w:cs="Calibri"/>
                <w:color w:val="000000"/>
              </w:rPr>
              <w:t>1</w:t>
            </w:r>
            <w:r>
              <w:rPr>
                <w:rFonts w:ascii="Calibri" w:hAnsi="Calibri" w:cs="Calibri"/>
                <w:color w:val="000000"/>
              </w:rPr>
              <w:t>4</w:t>
            </w:r>
            <w:r w:rsidRPr="0080115C">
              <w:rPr>
                <w:rFonts w:ascii="Calibri" w:hAnsi="Calibri" w:cs="Calibri"/>
                <w:color w:val="000000"/>
              </w:rPr>
              <w:t>%</w:t>
            </w:r>
          </w:p>
        </w:tc>
      </w:tr>
      <w:tr w:rsidR="008F715D" w:rsidRPr="005E02E6" w:rsidTr="002105A0">
        <w:trPr>
          <w:trHeight w:val="375"/>
        </w:trPr>
        <w:tc>
          <w:tcPr>
            <w:tcW w:w="4418" w:type="dxa"/>
            <w:gridSpan w:val="2"/>
            <w:tcBorders>
              <w:top w:val="single" w:sz="4" w:space="0" w:color="auto"/>
              <w:left w:val="single" w:sz="4" w:space="0" w:color="auto"/>
              <w:bottom w:val="single" w:sz="4" w:space="0" w:color="auto"/>
              <w:right w:val="single" w:sz="4" w:space="0" w:color="000000"/>
            </w:tcBorders>
            <w:shd w:val="clear" w:color="000000" w:fill="E6B9B8"/>
            <w:noWrap/>
            <w:vAlign w:val="bottom"/>
            <w:hideMark/>
          </w:tcPr>
          <w:p w:rsidR="008F715D" w:rsidRPr="005E02E6" w:rsidRDefault="008F715D" w:rsidP="002105A0">
            <w:pPr>
              <w:rPr>
                <w:rFonts w:ascii="Calibri" w:hAnsi="Calibri" w:cs="Calibri"/>
                <w:color w:val="000000"/>
              </w:rPr>
            </w:pPr>
            <w:r w:rsidRPr="005E02E6">
              <w:rPr>
                <w:rFonts w:ascii="Calibri" w:hAnsi="Calibri" w:cs="Calibri"/>
                <w:color w:val="000000"/>
                <w:sz w:val="22"/>
                <w:szCs w:val="22"/>
              </w:rPr>
              <w:t>prix de vente moyen national</w:t>
            </w:r>
            <w:r>
              <w:rPr>
                <w:rFonts w:ascii="Calibri" w:hAnsi="Calibri" w:cs="Calibri"/>
                <w:color w:val="000000"/>
                <w:sz w:val="22"/>
                <w:szCs w:val="22"/>
              </w:rPr>
              <w:t xml:space="preserve"> (USD/m3)</w:t>
            </w:r>
          </w:p>
        </w:tc>
        <w:tc>
          <w:tcPr>
            <w:tcW w:w="1231" w:type="dxa"/>
            <w:tcBorders>
              <w:top w:val="nil"/>
              <w:left w:val="single" w:sz="4" w:space="0" w:color="auto"/>
              <w:bottom w:val="single" w:sz="4" w:space="0" w:color="auto"/>
              <w:right w:val="single" w:sz="4" w:space="0" w:color="auto"/>
            </w:tcBorders>
            <w:shd w:val="clear" w:color="000000" w:fill="E6B9B8"/>
            <w:noWrap/>
            <w:vAlign w:val="bottom"/>
            <w:hideMark/>
          </w:tcPr>
          <w:p w:rsidR="008F715D" w:rsidRPr="0080115C" w:rsidRDefault="008F715D" w:rsidP="002105A0">
            <w:pPr>
              <w:jc w:val="center"/>
              <w:rPr>
                <w:rFonts w:ascii="Calibri" w:hAnsi="Calibri" w:cs="Calibri"/>
                <w:color w:val="000000"/>
              </w:rPr>
            </w:pPr>
            <w:r w:rsidRPr="0080115C">
              <w:rPr>
                <w:rFonts w:ascii="Calibri" w:hAnsi="Calibri" w:cs="Calibri"/>
                <w:color w:val="000000"/>
              </w:rPr>
              <w:t>0,144</w:t>
            </w:r>
          </w:p>
        </w:tc>
        <w:tc>
          <w:tcPr>
            <w:tcW w:w="992" w:type="dxa"/>
            <w:tcBorders>
              <w:top w:val="nil"/>
              <w:left w:val="nil"/>
              <w:bottom w:val="single" w:sz="4" w:space="0" w:color="auto"/>
              <w:right w:val="single" w:sz="4" w:space="0" w:color="auto"/>
            </w:tcBorders>
            <w:shd w:val="clear" w:color="000000" w:fill="E6B9B8"/>
            <w:noWrap/>
            <w:vAlign w:val="bottom"/>
            <w:hideMark/>
          </w:tcPr>
          <w:p w:rsidR="008F715D" w:rsidRPr="0080115C" w:rsidRDefault="008F715D" w:rsidP="002105A0">
            <w:pPr>
              <w:jc w:val="center"/>
              <w:rPr>
                <w:rFonts w:ascii="Calibri" w:hAnsi="Calibri" w:cs="Calibri"/>
                <w:color w:val="000000"/>
              </w:rPr>
            </w:pPr>
            <w:r w:rsidRPr="0080115C">
              <w:rPr>
                <w:rFonts w:ascii="Calibri" w:hAnsi="Calibri" w:cs="Calibri"/>
                <w:color w:val="000000"/>
              </w:rPr>
              <w:t>0,130</w:t>
            </w:r>
          </w:p>
        </w:tc>
        <w:tc>
          <w:tcPr>
            <w:tcW w:w="993" w:type="dxa"/>
            <w:tcBorders>
              <w:top w:val="nil"/>
              <w:left w:val="nil"/>
              <w:bottom w:val="single" w:sz="4" w:space="0" w:color="auto"/>
              <w:right w:val="single" w:sz="4" w:space="0" w:color="auto"/>
            </w:tcBorders>
            <w:shd w:val="clear" w:color="000000" w:fill="E6B9B8"/>
            <w:noWrap/>
            <w:vAlign w:val="bottom"/>
            <w:hideMark/>
          </w:tcPr>
          <w:p w:rsidR="008F715D" w:rsidRPr="0080115C" w:rsidRDefault="008F715D" w:rsidP="002105A0">
            <w:pPr>
              <w:jc w:val="center"/>
              <w:rPr>
                <w:rFonts w:ascii="Calibri" w:hAnsi="Calibri" w:cs="Calibri"/>
                <w:color w:val="000000"/>
              </w:rPr>
            </w:pPr>
            <w:r w:rsidRPr="0080115C">
              <w:rPr>
                <w:rFonts w:ascii="Calibri" w:hAnsi="Calibri" w:cs="Calibri"/>
                <w:color w:val="000000"/>
              </w:rPr>
              <w:t>0,195</w:t>
            </w:r>
          </w:p>
        </w:tc>
        <w:tc>
          <w:tcPr>
            <w:tcW w:w="1259" w:type="dxa"/>
            <w:tcBorders>
              <w:top w:val="nil"/>
              <w:left w:val="nil"/>
              <w:bottom w:val="single" w:sz="4" w:space="0" w:color="auto"/>
              <w:right w:val="single" w:sz="4" w:space="0" w:color="auto"/>
            </w:tcBorders>
            <w:shd w:val="clear" w:color="000000" w:fill="E6B9B8"/>
            <w:noWrap/>
            <w:vAlign w:val="bottom"/>
            <w:hideMark/>
          </w:tcPr>
          <w:p w:rsidR="008F715D" w:rsidRPr="0080115C" w:rsidRDefault="008F715D" w:rsidP="002105A0">
            <w:pPr>
              <w:jc w:val="center"/>
              <w:rPr>
                <w:rFonts w:ascii="Calibri" w:hAnsi="Calibri" w:cs="Calibri"/>
                <w:color w:val="000000"/>
              </w:rPr>
            </w:pPr>
            <w:r w:rsidRPr="0080115C">
              <w:rPr>
                <w:rFonts w:ascii="Calibri" w:hAnsi="Calibri" w:cs="Calibri"/>
                <w:color w:val="000000"/>
              </w:rPr>
              <w:t>50%</w:t>
            </w:r>
          </w:p>
        </w:tc>
      </w:tr>
    </w:tbl>
    <w:p w:rsidR="008F715D" w:rsidRPr="00D727A0" w:rsidRDefault="008F715D" w:rsidP="008F715D">
      <w:pPr>
        <w:jc w:val="both"/>
        <w:rPr>
          <w:rFonts w:asciiTheme="majorBidi" w:hAnsiTheme="majorBidi" w:cstheme="majorBidi"/>
          <w:sz w:val="20"/>
          <w:szCs w:val="20"/>
        </w:rPr>
      </w:pPr>
      <w:r w:rsidRPr="00D727A0">
        <w:rPr>
          <w:rFonts w:asciiTheme="majorBidi" w:hAnsiTheme="majorBidi" w:cstheme="majorBidi"/>
          <w:sz w:val="20"/>
          <w:szCs w:val="20"/>
        </w:rPr>
        <w:t>Source : Direction Générale des Hydrocarbures (DGH</w:t>
      </w:r>
    </w:p>
    <w:p w:rsidR="008F715D" w:rsidRDefault="008F715D" w:rsidP="008F715D">
      <w:pPr>
        <w:jc w:val="both"/>
        <w:rPr>
          <w:rFonts w:asciiTheme="majorBidi" w:hAnsiTheme="majorBidi" w:cstheme="majorBidi"/>
        </w:rPr>
      </w:pPr>
    </w:p>
    <w:p w:rsidR="008F715D" w:rsidRPr="00244224" w:rsidRDefault="008F715D" w:rsidP="008F715D">
      <w:pPr>
        <w:jc w:val="both"/>
        <w:rPr>
          <w:rFonts w:asciiTheme="majorBidi" w:hAnsiTheme="majorBidi" w:cstheme="majorBidi"/>
        </w:rPr>
      </w:pPr>
    </w:p>
    <w:p w:rsidR="008F715D" w:rsidRPr="00D149B6" w:rsidRDefault="008F715D" w:rsidP="008F715D">
      <w:pPr>
        <w:pStyle w:val="Titre2"/>
        <w:rPr>
          <w:rFonts w:asciiTheme="majorBidi" w:hAnsiTheme="majorBidi" w:cstheme="majorBidi"/>
          <w:b/>
          <w:bCs/>
          <w:i w:val="0"/>
          <w:color w:val="0000FF"/>
          <w:sz w:val="24"/>
        </w:rPr>
      </w:pPr>
      <w:bookmarkStart w:id="37" w:name="_Toc462990807"/>
      <w:r w:rsidRPr="00D149B6">
        <w:rPr>
          <w:rFonts w:asciiTheme="majorBidi" w:hAnsiTheme="majorBidi" w:cstheme="majorBidi"/>
          <w:b/>
          <w:bCs/>
          <w:i w:val="0"/>
          <w:color w:val="0000FF"/>
          <w:sz w:val="24"/>
        </w:rPr>
        <w:t>I</w:t>
      </w:r>
      <w:r>
        <w:rPr>
          <w:rFonts w:asciiTheme="majorBidi" w:hAnsiTheme="majorBidi" w:cstheme="majorBidi"/>
          <w:b/>
          <w:bCs/>
          <w:i w:val="0"/>
          <w:color w:val="0000FF"/>
          <w:sz w:val="24"/>
        </w:rPr>
        <w:t>I</w:t>
      </w:r>
      <w:r w:rsidRPr="00D149B6">
        <w:rPr>
          <w:rFonts w:asciiTheme="majorBidi" w:hAnsiTheme="majorBidi" w:cstheme="majorBidi"/>
          <w:b/>
          <w:bCs/>
          <w:i w:val="0"/>
          <w:color w:val="0000FF"/>
          <w:sz w:val="24"/>
        </w:rPr>
        <w:t>.</w:t>
      </w:r>
      <w:r>
        <w:rPr>
          <w:rFonts w:asciiTheme="majorBidi" w:hAnsiTheme="majorBidi" w:cstheme="majorBidi"/>
          <w:b/>
          <w:bCs/>
          <w:i w:val="0"/>
          <w:color w:val="0000FF"/>
          <w:sz w:val="24"/>
        </w:rPr>
        <w:t>4</w:t>
      </w:r>
      <w:r w:rsidRPr="00D149B6">
        <w:rPr>
          <w:rFonts w:asciiTheme="majorBidi" w:hAnsiTheme="majorBidi" w:cstheme="majorBidi"/>
          <w:b/>
          <w:bCs/>
          <w:i w:val="0"/>
          <w:color w:val="0000FF"/>
          <w:sz w:val="24"/>
        </w:rPr>
        <w:t>.</w:t>
      </w:r>
      <w:r>
        <w:rPr>
          <w:rFonts w:asciiTheme="majorBidi" w:hAnsiTheme="majorBidi" w:cstheme="majorBidi"/>
          <w:b/>
          <w:bCs/>
          <w:i w:val="0"/>
          <w:color w:val="0000FF"/>
          <w:sz w:val="24"/>
        </w:rPr>
        <w:t xml:space="preserve"> </w:t>
      </w:r>
      <w:r w:rsidRPr="00D149B6">
        <w:rPr>
          <w:rFonts w:asciiTheme="majorBidi" w:hAnsiTheme="majorBidi" w:cstheme="majorBidi"/>
          <w:b/>
          <w:bCs/>
          <w:i w:val="0"/>
          <w:color w:val="0000FF"/>
          <w:sz w:val="24"/>
        </w:rPr>
        <w:t>LES MINES</w:t>
      </w:r>
      <w:bookmarkEnd w:id="31"/>
      <w:bookmarkEnd w:id="37"/>
    </w:p>
    <w:p w:rsidR="008F715D" w:rsidRPr="00D149B6" w:rsidRDefault="008F715D" w:rsidP="008F715D"/>
    <w:p w:rsidR="008F715D" w:rsidRPr="00D149B6" w:rsidRDefault="008F715D" w:rsidP="008F715D">
      <w:pPr>
        <w:pStyle w:val="Titre3"/>
        <w:ind w:right="0" w:firstLine="0"/>
        <w:rPr>
          <w:rFonts w:asciiTheme="majorBidi" w:hAnsiTheme="majorBidi" w:cstheme="majorBidi"/>
          <w:b/>
          <w:bCs/>
          <w:i/>
          <w:iCs/>
          <w:color w:val="0000FF"/>
          <w:sz w:val="24"/>
        </w:rPr>
      </w:pPr>
      <w:bookmarkStart w:id="38" w:name="_Toc420027511"/>
      <w:bookmarkStart w:id="39" w:name="_Toc462990808"/>
      <w:r>
        <w:rPr>
          <w:rFonts w:asciiTheme="majorBidi" w:hAnsiTheme="majorBidi" w:cstheme="majorBidi"/>
          <w:b/>
          <w:bCs/>
          <w:i/>
          <w:iCs/>
          <w:color w:val="0000FF"/>
          <w:sz w:val="24"/>
        </w:rPr>
        <w:t>I</w:t>
      </w:r>
      <w:r w:rsidRPr="00D149B6">
        <w:rPr>
          <w:rFonts w:asciiTheme="majorBidi" w:hAnsiTheme="majorBidi" w:cstheme="majorBidi"/>
          <w:b/>
          <w:bCs/>
          <w:i/>
          <w:iCs/>
          <w:color w:val="0000FF"/>
          <w:sz w:val="24"/>
        </w:rPr>
        <w:t>I.</w:t>
      </w:r>
      <w:r>
        <w:rPr>
          <w:rFonts w:asciiTheme="majorBidi" w:hAnsiTheme="majorBidi" w:cstheme="majorBidi"/>
          <w:b/>
          <w:bCs/>
          <w:i/>
          <w:iCs/>
          <w:color w:val="0000FF"/>
          <w:sz w:val="24"/>
        </w:rPr>
        <w:t>4</w:t>
      </w:r>
      <w:r w:rsidRPr="00D149B6">
        <w:rPr>
          <w:rFonts w:asciiTheme="majorBidi" w:hAnsiTheme="majorBidi" w:cstheme="majorBidi"/>
          <w:b/>
          <w:bCs/>
          <w:i/>
          <w:iCs/>
          <w:color w:val="0000FF"/>
          <w:sz w:val="24"/>
        </w:rPr>
        <w:t>.1</w:t>
      </w:r>
      <w:r>
        <w:rPr>
          <w:rFonts w:asciiTheme="majorBidi" w:hAnsiTheme="majorBidi" w:cstheme="majorBidi"/>
          <w:b/>
          <w:bCs/>
          <w:i/>
          <w:iCs/>
          <w:color w:val="0000FF"/>
          <w:sz w:val="24"/>
        </w:rPr>
        <w:t>. L</w:t>
      </w:r>
      <w:r w:rsidRPr="00D149B6">
        <w:rPr>
          <w:rFonts w:asciiTheme="majorBidi" w:hAnsiTheme="majorBidi" w:cstheme="majorBidi"/>
          <w:b/>
          <w:bCs/>
          <w:i/>
          <w:iCs/>
          <w:color w:val="0000FF"/>
          <w:sz w:val="24"/>
        </w:rPr>
        <w:t xml:space="preserve">e </w:t>
      </w:r>
      <w:bookmarkEnd w:id="32"/>
      <w:bookmarkEnd w:id="33"/>
      <w:bookmarkEnd w:id="34"/>
      <w:r w:rsidRPr="00D149B6">
        <w:rPr>
          <w:rFonts w:asciiTheme="majorBidi" w:hAnsiTheme="majorBidi" w:cstheme="majorBidi"/>
          <w:b/>
          <w:bCs/>
          <w:i/>
          <w:iCs/>
          <w:color w:val="0000FF"/>
          <w:sz w:val="24"/>
        </w:rPr>
        <w:t>manganèse</w:t>
      </w:r>
      <w:bookmarkEnd w:id="38"/>
      <w:bookmarkEnd w:id="39"/>
    </w:p>
    <w:p w:rsidR="008F715D" w:rsidRPr="00D149B6" w:rsidRDefault="008F715D" w:rsidP="008F715D">
      <w:pPr>
        <w:jc w:val="both"/>
        <w:rPr>
          <w:rFonts w:asciiTheme="majorBidi" w:hAnsiTheme="majorBidi" w:cstheme="majorBidi"/>
        </w:rPr>
      </w:pPr>
      <w:bookmarkStart w:id="40" w:name="_Toc356891301"/>
      <w:bookmarkStart w:id="41" w:name="_Toc389653128"/>
      <w:bookmarkStart w:id="42" w:name="_Toc389653356"/>
    </w:p>
    <w:p w:rsidR="008F715D" w:rsidRPr="00EF4D44" w:rsidRDefault="008F715D" w:rsidP="008F715D">
      <w:pPr>
        <w:jc w:val="both"/>
        <w:rPr>
          <w:bCs/>
          <w:iCs/>
        </w:rPr>
      </w:pPr>
      <w:r w:rsidRPr="00EF4D44">
        <w:rPr>
          <w:bCs/>
          <w:iCs/>
        </w:rPr>
        <w:t>Au cours du premier semestre 2016, la production mondiale brute d’acier au carbone, principal débouché du manganèse, a reculé de 2,2% par rapport au premier semestre 2015, entrainant une forte augmentation des stocks de minerai de manganèse disponibles. En vue de réduire le niveau des stocks, la  Comilog a suspendu, au mois de mars 2016, la production de minerai de manganèse, conjugué à l’arrêt de l’activité de CICMHZ sur le gisement de Ndjolé. Dans ce contexte la production nationale de minerai et d’agglomérés de manganèse a chuté de 25,7% à 1,5 million de tonnes à fin juin 2016.</w:t>
      </w:r>
    </w:p>
    <w:p w:rsidR="008F715D" w:rsidRPr="004B14A6" w:rsidRDefault="008F715D" w:rsidP="008F715D">
      <w:pPr>
        <w:jc w:val="both"/>
        <w:rPr>
          <w:bCs/>
          <w:iCs/>
        </w:rPr>
      </w:pPr>
    </w:p>
    <w:p w:rsidR="008F715D" w:rsidRDefault="008F715D" w:rsidP="008F715D">
      <w:pPr>
        <w:jc w:val="both"/>
        <w:rPr>
          <w:rFonts w:asciiTheme="majorBidi" w:hAnsiTheme="majorBidi" w:cstheme="majorBidi"/>
          <w:bCs/>
          <w:iCs/>
        </w:rPr>
      </w:pPr>
      <w:r w:rsidRPr="004B14A6">
        <w:rPr>
          <w:rFonts w:asciiTheme="majorBidi" w:hAnsiTheme="majorBidi" w:cstheme="majorBidi"/>
          <w:bCs/>
          <w:iCs/>
        </w:rPr>
        <w:t>Cette situation a induit une baisse de 14,5% des quantités vendues de manganèse à 1,3 millions de tonnes. Par voie de conséquence, le chiffre d’affaires a régressé de 23,1% pour se situer à 124 milliards de francs CFA, plombé également par la baisse des prix du manganèse de 16,1% au cours de la période sous revue (soit 2,91 USD/dmtu en moyenne au premier semestre 2016 contre 3,47 USD/dmtu au premier semestre 2015). Il faut cependant noter que les prix du minerai de manganèse sont reparti à la hausse au cours du second trimestre, suite aux diverses interruptions de production observées au plan mondial.</w:t>
      </w:r>
    </w:p>
    <w:p w:rsidR="008F715D" w:rsidRDefault="008F715D" w:rsidP="008F715D">
      <w:pPr>
        <w:jc w:val="both"/>
        <w:rPr>
          <w:rFonts w:asciiTheme="majorBidi" w:hAnsiTheme="majorBidi" w:cstheme="majorBidi"/>
          <w:bCs/>
          <w:iCs/>
        </w:rPr>
      </w:pPr>
    </w:p>
    <w:p w:rsidR="008F715D" w:rsidRDefault="008F715D" w:rsidP="008F715D">
      <w:pPr>
        <w:jc w:val="both"/>
        <w:rPr>
          <w:rFonts w:asciiTheme="majorBidi" w:hAnsiTheme="majorBidi" w:cstheme="majorBidi"/>
          <w:b/>
          <w:bCs/>
          <w:i/>
          <w:iCs/>
        </w:rPr>
      </w:pPr>
      <w:r w:rsidRPr="00CB1F5B">
        <w:rPr>
          <w:rFonts w:asciiTheme="majorBidi" w:hAnsiTheme="majorBidi" w:cstheme="majorBidi"/>
          <w:b/>
          <w:bCs/>
          <w:i/>
          <w:iCs/>
        </w:rPr>
        <w:t>Evolution de l'activité de manganèse</w:t>
      </w:r>
    </w:p>
    <w:tbl>
      <w:tblPr>
        <w:tblW w:w="9087" w:type="dxa"/>
        <w:tblInd w:w="55" w:type="dxa"/>
        <w:tblLayout w:type="fixed"/>
        <w:tblCellMar>
          <w:left w:w="70" w:type="dxa"/>
          <w:right w:w="70" w:type="dxa"/>
        </w:tblCellMar>
        <w:tblLook w:val="04A0"/>
      </w:tblPr>
      <w:tblGrid>
        <w:gridCol w:w="4840"/>
        <w:gridCol w:w="1415"/>
        <w:gridCol w:w="1416"/>
        <w:gridCol w:w="1416"/>
      </w:tblGrid>
      <w:tr w:rsidR="008F715D" w:rsidRPr="00887F58"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887F58" w:rsidRDefault="008F715D" w:rsidP="002105A0">
            <w:pPr>
              <w:rPr>
                <w:color w:val="000000"/>
              </w:rPr>
            </w:pPr>
            <w:r w:rsidRPr="00887F58">
              <w:rPr>
                <w:color w:val="000000"/>
                <w:sz w:val="22"/>
                <w:szCs w:val="22"/>
              </w:rPr>
              <w:t>(</w:t>
            </w:r>
            <w:r w:rsidRPr="00887F58">
              <w:rPr>
                <w:sz w:val="22"/>
                <w:szCs w:val="22"/>
              </w:rPr>
              <w:t>en tonnes)</w:t>
            </w:r>
          </w:p>
        </w:tc>
        <w:tc>
          <w:tcPr>
            <w:tcW w:w="4247"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887F58" w:rsidRDefault="008F715D" w:rsidP="002105A0">
            <w:pPr>
              <w:jc w:val="center"/>
              <w:rPr>
                <w:color w:val="000000"/>
              </w:rPr>
            </w:pPr>
            <w:r w:rsidRPr="00887F58">
              <w:rPr>
                <w:color w:val="000000"/>
                <w:sz w:val="22"/>
                <w:szCs w:val="22"/>
              </w:rPr>
              <w:t>Premier semestre</w:t>
            </w:r>
          </w:p>
        </w:tc>
      </w:tr>
      <w:tr w:rsidR="008F715D" w:rsidRPr="00887F5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887F58" w:rsidRDefault="008F715D" w:rsidP="002105A0">
            <w:pPr>
              <w:rPr>
                <w:color w:val="000000"/>
              </w:rPr>
            </w:pPr>
            <w:r w:rsidRPr="00887F58">
              <w:rPr>
                <w:color w:val="000000"/>
                <w:sz w:val="22"/>
                <w:szCs w:val="22"/>
              </w:rPr>
              <w:t xml:space="preserve"> </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887F58" w:rsidRDefault="008F715D" w:rsidP="002105A0">
            <w:pPr>
              <w:jc w:val="center"/>
              <w:rPr>
                <w:color w:val="000000"/>
              </w:rPr>
            </w:pPr>
            <w:r w:rsidRPr="00887F58">
              <w:rPr>
                <w:color w:val="000000"/>
                <w:sz w:val="22"/>
                <w:szCs w:val="22"/>
              </w:rPr>
              <w:t>2015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887F58" w:rsidRDefault="008F715D" w:rsidP="002105A0">
            <w:pPr>
              <w:jc w:val="center"/>
              <w:rPr>
                <w:color w:val="000000"/>
              </w:rPr>
            </w:pPr>
            <w:r w:rsidRPr="00887F58">
              <w:rPr>
                <w:color w:val="000000"/>
                <w:sz w:val="22"/>
                <w:szCs w:val="22"/>
              </w:rPr>
              <w:t>2016</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887F58" w:rsidRDefault="008F715D" w:rsidP="002105A0">
            <w:pPr>
              <w:jc w:val="center"/>
            </w:pPr>
            <w:r w:rsidRPr="00887F58">
              <w:rPr>
                <w:sz w:val="22"/>
                <w:szCs w:val="22"/>
              </w:rPr>
              <w:t>Var 16/15</w:t>
            </w:r>
          </w:p>
        </w:tc>
      </w:tr>
      <w:tr w:rsidR="008F715D" w:rsidRPr="00887F5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887F58" w:rsidRDefault="008F715D" w:rsidP="002105A0">
            <w:r w:rsidRPr="00887F58">
              <w:rPr>
                <w:sz w:val="22"/>
                <w:szCs w:val="22"/>
              </w:rPr>
              <w:t>Production</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887F58" w:rsidRDefault="008F715D" w:rsidP="002105A0">
            <w:pPr>
              <w:jc w:val="center"/>
            </w:pPr>
            <w:r w:rsidRPr="00887F58">
              <w:rPr>
                <w:sz w:val="22"/>
                <w:szCs w:val="22"/>
              </w:rPr>
              <w:t>2 033 943</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887F58" w:rsidRDefault="008F715D" w:rsidP="002105A0">
            <w:pPr>
              <w:jc w:val="center"/>
            </w:pPr>
            <w:r w:rsidRPr="00887F58">
              <w:rPr>
                <w:sz w:val="22"/>
                <w:szCs w:val="22"/>
              </w:rPr>
              <w:t>1 510 539</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887F58" w:rsidRDefault="008F715D" w:rsidP="002105A0">
            <w:pPr>
              <w:jc w:val="center"/>
              <w:rPr>
                <w:color w:val="FF0000"/>
              </w:rPr>
            </w:pPr>
            <w:r w:rsidRPr="00887F58">
              <w:rPr>
                <w:color w:val="FF0000"/>
                <w:sz w:val="22"/>
                <w:szCs w:val="22"/>
              </w:rPr>
              <w:t>-25,7%</w:t>
            </w:r>
          </w:p>
        </w:tc>
      </w:tr>
      <w:tr w:rsidR="008F715D" w:rsidRPr="00887F5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887F58" w:rsidRDefault="008F715D" w:rsidP="002105A0">
            <w:r w:rsidRPr="00887F58">
              <w:rPr>
                <w:sz w:val="22"/>
                <w:szCs w:val="22"/>
              </w:rPr>
              <w:t>Ventes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887F58" w:rsidRDefault="008F715D" w:rsidP="002105A0">
            <w:pPr>
              <w:jc w:val="center"/>
            </w:pPr>
            <w:r w:rsidRPr="00887F58">
              <w:rPr>
                <w:sz w:val="22"/>
                <w:szCs w:val="22"/>
              </w:rPr>
              <w:t>1 841 045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887F58" w:rsidRDefault="008F715D" w:rsidP="002105A0">
            <w:pPr>
              <w:jc w:val="center"/>
            </w:pPr>
            <w:r w:rsidRPr="00887F58">
              <w:rPr>
                <w:sz w:val="22"/>
                <w:szCs w:val="22"/>
              </w:rPr>
              <w:t>1 574 792</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887F58" w:rsidRDefault="008F715D" w:rsidP="002105A0">
            <w:pPr>
              <w:jc w:val="center"/>
              <w:rPr>
                <w:color w:val="FF0000"/>
              </w:rPr>
            </w:pPr>
            <w:r w:rsidRPr="00887F58">
              <w:rPr>
                <w:color w:val="FF0000"/>
                <w:sz w:val="22"/>
                <w:szCs w:val="22"/>
              </w:rPr>
              <w:t>-14,5%</w:t>
            </w:r>
          </w:p>
        </w:tc>
      </w:tr>
      <w:tr w:rsidR="008F715D" w:rsidRPr="00887F5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887F58" w:rsidRDefault="008F715D" w:rsidP="002105A0">
            <w:r w:rsidRPr="00887F58">
              <w:rPr>
                <w:sz w:val="22"/>
                <w:szCs w:val="22"/>
              </w:rPr>
              <w:t>Chiffre d'affaires (millions de FCFA)</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887F58" w:rsidRDefault="008F715D" w:rsidP="002105A0">
            <w:pPr>
              <w:jc w:val="center"/>
            </w:pPr>
            <w:r w:rsidRPr="00887F58">
              <w:rPr>
                <w:sz w:val="22"/>
                <w:szCs w:val="22"/>
              </w:rPr>
              <w:t>161 191</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887F58" w:rsidRDefault="008F715D" w:rsidP="002105A0">
            <w:pPr>
              <w:jc w:val="center"/>
            </w:pPr>
            <w:r w:rsidRPr="00887F58">
              <w:rPr>
                <w:sz w:val="22"/>
                <w:szCs w:val="22"/>
              </w:rPr>
              <w:t>123 953</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887F58" w:rsidRDefault="008F715D" w:rsidP="002105A0">
            <w:pPr>
              <w:jc w:val="center"/>
              <w:rPr>
                <w:color w:val="FF0000"/>
              </w:rPr>
            </w:pPr>
            <w:r w:rsidRPr="00887F58">
              <w:rPr>
                <w:color w:val="FF0000"/>
                <w:sz w:val="22"/>
                <w:szCs w:val="22"/>
              </w:rPr>
              <w:t>-23,1%</w:t>
            </w:r>
          </w:p>
        </w:tc>
      </w:tr>
    </w:tbl>
    <w:p w:rsidR="008F715D" w:rsidRPr="00D727A0" w:rsidRDefault="008F715D" w:rsidP="008F715D">
      <w:pPr>
        <w:ind w:right="44"/>
        <w:rPr>
          <w:rFonts w:asciiTheme="majorBidi" w:hAnsiTheme="majorBidi" w:cstheme="majorBidi"/>
          <w:b/>
          <w:i/>
          <w:sz w:val="20"/>
          <w:szCs w:val="20"/>
        </w:rPr>
      </w:pPr>
      <w:r w:rsidRPr="00D727A0">
        <w:rPr>
          <w:rFonts w:asciiTheme="majorBidi" w:hAnsiTheme="majorBidi" w:cstheme="majorBidi"/>
          <w:b/>
          <w:i/>
          <w:sz w:val="20"/>
          <w:szCs w:val="20"/>
        </w:rPr>
        <w:t>Source : Comilog, CICMHZ</w:t>
      </w:r>
    </w:p>
    <w:p w:rsidR="008F715D" w:rsidRPr="00D149B6" w:rsidRDefault="008F715D" w:rsidP="008F715D">
      <w:pPr>
        <w:jc w:val="both"/>
        <w:rPr>
          <w:rFonts w:asciiTheme="majorBidi" w:hAnsiTheme="majorBidi" w:cstheme="majorBidi"/>
        </w:rPr>
      </w:pPr>
    </w:p>
    <w:p w:rsidR="008F715D" w:rsidRPr="00D149B6" w:rsidRDefault="008F715D" w:rsidP="008F715D">
      <w:pPr>
        <w:pStyle w:val="Titre3"/>
        <w:ind w:right="0" w:firstLine="0"/>
        <w:rPr>
          <w:rFonts w:asciiTheme="majorBidi" w:hAnsiTheme="majorBidi" w:cstheme="majorBidi"/>
          <w:b/>
          <w:bCs/>
          <w:i/>
          <w:iCs/>
          <w:color w:val="0000FF"/>
          <w:sz w:val="24"/>
        </w:rPr>
      </w:pPr>
      <w:bookmarkStart w:id="43" w:name="_Toc420027512"/>
      <w:bookmarkStart w:id="44" w:name="_Toc462990809"/>
      <w:r>
        <w:rPr>
          <w:rFonts w:asciiTheme="majorBidi" w:hAnsiTheme="majorBidi" w:cstheme="majorBidi"/>
          <w:b/>
          <w:bCs/>
          <w:i/>
          <w:iCs/>
          <w:color w:val="0000FF"/>
          <w:sz w:val="24"/>
        </w:rPr>
        <w:t>I</w:t>
      </w:r>
      <w:r w:rsidRPr="00D149B6">
        <w:rPr>
          <w:rFonts w:asciiTheme="majorBidi" w:hAnsiTheme="majorBidi" w:cstheme="majorBidi"/>
          <w:b/>
          <w:bCs/>
          <w:i/>
          <w:iCs/>
          <w:color w:val="0000FF"/>
          <w:sz w:val="24"/>
        </w:rPr>
        <w:t>I.</w:t>
      </w:r>
      <w:r>
        <w:rPr>
          <w:rFonts w:asciiTheme="majorBidi" w:hAnsiTheme="majorBidi" w:cstheme="majorBidi"/>
          <w:b/>
          <w:bCs/>
          <w:i/>
          <w:iCs/>
          <w:color w:val="0000FF"/>
          <w:sz w:val="24"/>
        </w:rPr>
        <w:t>4</w:t>
      </w:r>
      <w:r w:rsidRPr="00D149B6">
        <w:rPr>
          <w:rFonts w:asciiTheme="majorBidi" w:hAnsiTheme="majorBidi" w:cstheme="majorBidi"/>
          <w:b/>
          <w:bCs/>
          <w:i/>
          <w:iCs/>
          <w:color w:val="0000FF"/>
          <w:sz w:val="24"/>
        </w:rPr>
        <w:t>.2</w:t>
      </w:r>
      <w:r>
        <w:rPr>
          <w:rFonts w:asciiTheme="majorBidi" w:hAnsiTheme="majorBidi" w:cstheme="majorBidi"/>
          <w:b/>
          <w:bCs/>
          <w:i/>
          <w:iCs/>
          <w:color w:val="0000FF"/>
          <w:sz w:val="24"/>
        </w:rPr>
        <w:t>. L</w:t>
      </w:r>
      <w:r w:rsidRPr="00D149B6">
        <w:rPr>
          <w:rFonts w:asciiTheme="majorBidi" w:hAnsiTheme="majorBidi" w:cstheme="majorBidi"/>
          <w:b/>
          <w:bCs/>
          <w:i/>
          <w:iCs/>
          <w:color w:val="0000FF"/>
          <w:sz w:val="24"/>
        </w:rPr>
        <w:t>’or</w:t>
      </w:r>
      <w:bookmarkEnd w:id="43"/>
      <w:bookmarkEnd w:id="44"/>
    </w:p>
    <w:p w:rsidR="008F715D" w:rsidRPr="00D149B6" w:rsidRDefault="008F715D" w:rsidP="008F715D">
      <w:pPr>
        <w:jc w:val="both"/>
        <w:rPr>
          <w:rFonts w:asciiTheme="majorBidi" w:hAnsiTheme="majorBidi" w:cstheme="majorBidi"/>
        </w:rPr>
      </w:pPr>
    </w:p>
    <w:p w:rsidR="008F715D" w:rsidRPr="004B14A6" w:rsidRDefault="008F715D" w:rsidP="008F715D">
      <w:pPr>
        <w:jc w:val="both"/>
        <w:rPr>
          <w:rFonts w:asciiTheme="majorBidi" w:hAnsiTheme="majorBidi" w:cstheme="majorBidi"/>
          <w:bCs/>
          <w:iCs/>
        </w:rPr>
      </w:pPr>
      <w:r w:rsidRPr="004B14A6">
        <w:rPr>
          <w:rFonts w:asciiTheme="majorBidi" w:hAnsiTheme="majorBidi" w:cstheme="majorBidi"/>
          <w:bCs/>
          <w:iCs/>
        </w:rPr>
        <w:t xml:space="preserve">L'activité aurifère a été marquée par un ralentissement durant le premier semestre 2016, suite aux arrêts de la production induits par les fortes pluies qui ont inondé la mine et aux </w:t>
      </w:r>
      <w:r w:rsidRPr="004B14A6">
        <w:rPr>
          <w:rFonts w:asciiTheme="majorBidi" w:hAnsiTheme="majorBidi" w:cstheme="majorBidi"/>
          <w:bCs/>
          <w:iCs/>
        </w:rPr>
        <w:lastRenderedPageBreak/>
        <w:t>difficultés d’évacuation du minerai. Ainsi, la production de l’or s’est établie à 602,4 kg à fin juin 2016 contre 663,5 kg extraits à la même période en 2015, soit une contraction de 9,2%.</w:t>
      </w:r>
    </w:p>
    <w:p w:rsidR="008F715D" w:rsidRPr="004B14A6" w:rsidRDefault="008F715D" w:rsidP="008F715D">
      <w:pPr>
        <w:jc w:val="both"/>
        <w:rPr>
          <w:rFonts w:asciiTheme="majorBidi" w:hAnsiTheme="majorBidi" w:cstheme="majorBidi"/>
          <w:bCs/>
          <w:iCs/>
        </w:rPr>
      </w:pPr>
    </w:p>
    <w:p w:rsidR="008F715D" w:rsidRPr="003C404D" w:rsidRDefault="008F715D" w:rsidP="008F715D">
      <w:pPr>
        <w:jc w:val="both"/>
        <w:rPr>
          <w:rFonts w:asciiTheme="majorBidi" w:hAnsiTheme="majorBidi" w:cstheme="majorBidi"/>
          <w:bCs/>
          <w:iCs/>
        </w:rPr>
      </w:pPr>
      <w:r w:rsidRPr="004B14A6">
        <w:rPr>
          <w:rFonts w:asciiTheme="majorBidi" w:hAnsiTheme="majorBidi" w:cstheme="majorBidi"/>
          <w:bCs/>
          <w:iCs/>
        </w:rPr>
        <w:t>Parallèlement, le chiffre d’affaires a baissé de 11,7%, passant de 11,7 milliards de FCFA au 30 juin 2015 à 10,3 milliards à fin juin 2016, sous l’effet conjugué du repli des cours mondiaux de l’or, dans un contexte de hausse du dollar us.</w:t>
      </w:r>
      <w:r w:rsidRPr="003C404D">
        <w:rPr>
          <w:rFonts w:asciiTheme="majorBidi" w:hAnsiTheme="majorBidi" w:cstheme="majorBidi"/>
          <w:bCs/>
          <w:iCs/>
        </w:rPr>
        <w:t xml:space="preserve">  </w:t>
      </w:r>
    </w:p>
    <w:p w:rsidR="008F715D" w:rsidRPr="00CB1F5B"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b/>
          <w:bCs/>
          <w:i/>
          <w:iCs/>
        </w:rPr>
      </w:pPr>
      <w:r w:rsidRPr="00CB1F5B">
        <w:rPr>
          <w:rFonts w:asciiTheme="majorBidi" w:hAnsiTheme="majorBidi" w:cstheme="majorBidi"/>
          <w:b/>
          <w:bCs/>
          <w:i/>
          <w:iCs/>
        </w:rPr>
        <w:t>Evolution de l'activité aurifère</w:t>
      </w:r>
    </w:p>
    <w:tbl>
      <w:tblPr>
        <w:tblW w:w="8946" w:type="dxa"/>
        <w:tblInd w:w="55" w:type="dxa"/>
        <w:tblLayout w:type="fixed"/>
        <w:tblCellMar>
          <w:left w:w="70" w:type="dxa"/>
          <w:right w:w="70" w:type="dxa"/>
        </w:tblCellMar>
        <w:tblLook w:val="04A0"/>
      </w:tblPr>
      <w:tblGrid>
        <w:gridCol w:w="4840"/>
        <w:gridCol w:w="1368"/>
        <w:gridCol w:w="1369"/>
        <w:gridCol w:w="1369"/>
      </w:tblGrid>
      <w:tr w:rsidR="008F715D" w:rsidRPr="001154AC"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1154AC" w:rsidRDefault="008F715D" w:rsidP="002105A0">
            <w:pPr>
              <w:rPr>
                <w:color w:val="000000"/>
              </w:rPr>
            </w:pPr>
            <w:r w:rsidRPr="001154AC">
              <w:rPr>
                <w:color w:val="000000"/>
                <w:sz w:val="22"/>
                <w:szCs w:val="22"/>
              </w:rPr>
              <w:t> </w:t>
            </w:r>
          </w:p>
        </w:tc>
        <w:tc>
          <w:tcPr>
            <w:tcW w:w="4106"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1154AC" w:rsidRDefault="008F715D" w:rsidP="002105A0">
            <w:pPr>
              <w:jc w:val="center"/>
              <w:rPr>
                <w:color w:val="000000"/>
              </w:rPr>
            </w:pPr>
            <w:r w:rsidRPr="001154AC">
              <w:rPr>
                <w:color w:val="000000"/>
                <w:sz w:val="22"/>
                <w:szCs w:val="22"/>
              </w:rPr>
              <w:t>Premier semestre</w:t>
            </w:r>
          </w:p>
        </w:tc>
      </w:tr>
      <w:tr w:rsidR="008F715D" w:rsidRPr="001154A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154AC" w:rsidRDefault="008F715D" w:rsidP="002105A0">
            <w:pPr>
              <w:rPr>
                <w:color w:val="000000"/>
              </w:rPr>
            </w:pPr>
            <w:r w:rsidRPr="001154AC">
              <w:rPr>
                <w:color w:val="000000"/>
                <w:sz w:val="22"/>
                <w:szCs w:val="22"/>
              </w:rPr>
              <w:t>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1154AC" w:rsidRDefault="008F715D" w:rsidP="002105A0">
            <w:pPr>
              <w:jc w:val="center"/>
              <w:rPr>
                <w:color w:val="000000"/>
              </w:rPr>
            </w:pPr>
            <w:r w:rsidRPr="001154AC">
              <w:rPr>
                <w:color w:val="000000"/>
                <w:sz w:val="22"/>
                <w:szCs w:val="22"/>
              </w:rPr>
              <w:t>2015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1154AC" w:rsidRDefault="008F715D" w:rsidP="002105A0">
            <w:pPr>
              <w:jc w:val="center"/>
              <w:rPr>
                <w:color w:val="000000"/>
              </w:rPr>
            </w:pPr>
            <w:r w:rsidRPr="001154AC">
              <w:rPr>
                <w:color w:val="000000"/>
                <w:sz w:val="22"/>
                <w:szCs w:val="22"/>
              </w:rPr>
              <w:t>2016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1154AC" w:rsidRDefault="008F715D" w:rsidP="002105A0">
            <w:pPr>
              <w:jc w:val="center"/>
            </w:pPr>
            <w:r w:rsidRPr="001154AC">
              <w:rPr>
                <w:sz w:val="22"/>
                <w:szCs w:val="22"/>
              </w:rPr>
              <w:t>Var 16/15</w:t>
            </w:r>
          </w:p>
        </w:tc>
      </w:tr>
      <w:tr w:rsidR="008F715D" w:rsidRPr="001154A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154AC" w:rsidRDefault="008F715D" w:rsidP="002105A0">
            <w:pPr>
              <w:rPr>
                <w:color w:val="000000"/>
              </w:rPr>
            </w:pPr>
            <w:r w:rsidRPr="001154AC">
              <w:rPr>
                <w:color w:val="000000"/>
                <w:sz w:val="22"/>
                <w:szCs w:val="22"/>
              </w:rPr>
              <w:t>Production (KG)</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1154AC" w:rsidRDefault="008F715D" w:rsidP="002105A0">
            <w:pPr>
              <w:jc w:val="center"/>
            </w:pPr>
            <w:r w:rsidRPr="001154AC">
              <w:rPr>
                <w:sz w:val="22"/>
                <w:szCs w:val="22"/>
              </w:rPr>
              <w:t>663</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1154AC" w:rsidRDefault="008F715D" w:rsidP="002105A0">
            <w:pPr>
              <w:jc w:val="center"/>
            </w:pPr>
            <w:r w:rsidRPr="001154AC">
              <w:rPr>
                <w:sz w:val="22"/>
                <w:szCs w:val="22"/>
              </w:rPr>
              <w:t>602</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1154AC" w:rsidRDefault="008F715D" w:rsidP="002105A0">
            <w:pPr>
              <w:jc w:val="center"/>
              <w:rPr>
                <w:color w:val="FF0000"/>
              </w:rPr>
            </w:pPr>
            <w:r w:rsidRPr="001154AC">
              <w:rPr>
                <w:color w:val="FF0000"/>
                <w:sz w:val="22"/>
                <w:szCs w:val="22"/>
              </w:rPr>
              <w:t>-9,2%</w:t>
            </w:r>
          </w:p>
        </w:tc>
      </w:tr>
      <w:tr w:rsidR="008F715D" w:rsidRPr="001154A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154AC" w:rsidRDefault="008F715D" w:rsidP="002105A0">
            <w:pPr>
              <w:rPr>
                <w:color w:val="000000"/>
              </w:rPr>
            </w:pPr>
            <w:r w:rsidRPr="001154AC">
              <w:rPr>
                <w:color w:val="000000"/>
                <w:sz w:val="22"/>
                <w:szCs w:val="22"/>
              </w:rPr>
              <w:t>Lingots (Nombre)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1154AC" w:rsidRDefault="008F715D" w:rsidP="002105A0">
            <w:pPr>
              <w:jc w:val="center"/>
            </w:pPr>
            <w:r w:rsidRPr="001154AC">
              <w:rPr>
                <w:sz w:val="22"/>
                <w:szCs w:val="22"/>
              </w:rPr>
              <w:t>102</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1154AC" w:rsidRDefault="008F715D" w:rsidP="002105A0">
            <w:pPr>
              <w:jc w:val="center"/>
            </w:pPr>
            <w:r w:rsidRPr="001154AC">
              <w:rPr>
                <w:sz w:val="22"/>
                <w:szCs w:val="22"/>
              </w:rPr>
              <w:t>125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1154AC" w:rsidRDefault="008F715D" w:rsidP="002105A0">
            <w:pPr>
              <w:jc w:val="center"/>
            </w:pPr>
            <w:r w:rsidRPr="001154AC">
              <w:rPr>
                <w:sz w:val="22"/>
                <w:szCs w:val="22"/>
              </w:rPr>
              <w:t>22,5%</w:t>
            </w:r>
          </w:p>
        </w:tc>
      </w:tr>
      <w:tr w:rsidR="008F715D" w:rsidRPr="001154A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154AC" w:rsidRDefault="008F715D" w:rsidP="002105A0">
            <w:pPr>
              <w:rPr>
                <w:color w:val="000000"/>
              </w:rPr>
            </w:pPr>
            <w:r w:rsidRPr="001154AC">
              <w:rPr>
                <w:color w:val="000000"/>
                <w:sz w:val="22"/>
                <w:szCs w:val="22"/>
              </w:rPr>
              <w:t>Chiffre d'affaires (en milliards de FCFA)</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1154AC" w:rsidRDefault="008F715D" w:rsidP="002105A0">
            <w:pPr>
              <w:jc w:val="center"/>
            </w:pPr>
            <w:r w:rsidRPr="001154AC">
              <w:rPr>
                <w:sz w:val="22"/>
                <w:szCs w:val="22"/>
              </w:rPr>
              <w:t>11 685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1154AC" w:rsidRDefault="008F715D" w:rsidP="002105A0">
            <w:pPr>
              <w:jc w:val="center"/>
            </w:pPr>
            <w:r w:rsidRPr="001154AC">
              <w:rPr>
                <w:sz w:val="22"/>
                <w:szCs w:val="22"/>
              </w:rPr>
              <w:t>10 319</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1154AC" w:rsidRDefault="008F715D" w:rsidP="002105A0">
            <w:pPr>
              <w:jc w:val="center"/>
              <w:rPr>
                <w:color w:val="FF0000"/>
              </w:rPr>
            </w:pPr>
            <w:r w:rsidRPr="001154AC">
              <w:rPr>
                <w:color w:val="FF0000"/>
                <w:sz w:val="22"/>
                <w:szCs w:val="22"/>
              </w:rPr>
              <w:t>-11,7%</w:t>
            </w:r>
          </w:p>
        </w:tc>
      </w:tr>
    </w:tbl>
    <w:p w:rsidR="008F715D" w:rsidRPr="00D149B6" w:rsidRDefault="008F715D" w:rsidP="008F715D">
      <w:pPr>
        <w:ind w:right="44"/>
        <w:rPr>
          <w:rFonts w:asciiTheme="majorBidi" w:hAnsiTheme="majorBidi" w:cstheme="majorBidi"/>
          <w:b/>
          <w:i/>
          <w:sz w:val="16"/>
          <w:szCs w:val="16"/>
        </w:rPr>
      </w:pPr>
      <w:r w:rsidRPr="00D149B6">
        <w:rPr>
          <w:rFonts w:asciiTheme="majorBidi" w:hAnsiTheme="majorBidi" w:cstheme="majorBidi"/>
          <w:b/>
          <w:i/>
          <w:sz w:val="16"/>
          <w:szCs w:val="16"/>
        </w:rPr>
        <w:t xml:space="preserve">Source : </w:t>
      </w:r>
      <w:r>
        <w:rPr>
          <w:rFonts w:asciiTheme="majorBidi" w:hAnsiTheme="majorBidi" w:cstheme="majorBidi"/>
          <w:b/>
          <w:i/>
          <w:sz w:val="16"/>
          <w:szCs w:val="16"/>
        </w:rPr>
        <w:t>REGG Gabon</w:t>
      </w:r>
    </w:p>
    <w:p w:rsidR="008F715D" w:rsidRDefault="008F715D" w:rsidP="008F715D">
      <w:pPr>
        <w:jc w:val="both"/>
        <w:rPr>
          <w:rFonts w:asciiTheme="majorBidi" w:hAnsiTheme="majorBidi" w:cstheme="majorBidi"/>
        </w:rPr>
      </w:pPr>
    </w:p>
    <w:p w:rsidR="008F715D" w:rsidRPr="005761FB" w:rsidRDefault="008F715D" w:rsidP="008F715D">
      <w:pPr>
        <w:pStyle w:val="Titre2"/>
        <w:rPr>
          <w:b/>
          <w:bCs/>
          <w:i w:val="0"/>
          <w:color w:val="0000FF"/>
          <w:sz w:val="24"/>
        </w:rPr>
      </w:pPr>
      <w:bookmarkStart w:id="45" w:name="_Toc436475052"/>
      <w:bookmarkStart w:id="46" w:name="_Toc462990810"/>
      <w:r w:rsidRPr="005761FB">
        <w:rPr>
          <w:b/>
          <w:bCs/>
          <w:i w:val="0"/>
          <w:color w:val="0000FF"/>
          <w:sz w:val="24"/>
        </w:rPr>
        <w:t>II.</w:t>
      </w:r>
      <w:r>
        <w:rPr>
          <w:b/>
          <w:bCs/>
          <w:i w:val="0"/>
          <w:color w:val="0000FF"/>
          <w:sz w:val="24"/>
        </w:rPr>
        <w:t>5</w:t>
      </w:r>
      <w:r w:rsidRPr="005761FB">
        <w:rPr>
          <w:b/>
          <w:bCs/>
          <w:i w:val="0"/>
          <w:color w:val="0000FF"/>
          <w:sz w:val="24"/>
        </w:rPr>
        <w:t>. L’EXPLOITATION FORESTIERE</w:t>
      </w:r>
      <w:bookmarkEnd w:id="45"/>
      <w:bookmarkEnd w:id="46"/>
    </w:p>
    <w:p w:rsidR="008F715D" w:rsidRPr="008F49D4" w:rsidRDefault="008F715D" w:rsidP="008F715D">
      <w:pPr>
        <w:jc w:val="both"/>
        <w:rPr>
          <w:iCs/>
        </w:rPr>
      </w:pPr>
    </w:p>
    <w:p w:rsidR="008F715D" w:rsidRDefault="008F715D" w:rsidP="008F715D">
      <w:pPr>
        <w:jc w:val="both"/>
      </w:pPr>
      <w:r>
        <w:t xml:space="preserve">Au terme des six premiers mois de </w:t>
      </w:r>
      <w:r w:rsidRPr="009D442F">
        <w:t>201</w:t>
      </w:r>
      <w:r>
        <w:t>6</w:t>
      </w:r>
      <w:r w:rsidRPr="009D442F">
        <w:t xml:space="preserve">, </w:t>
      </w:r>
      <w:r>
        <w:t>l’exploitation forestière</w:t>
      </w:r>
      <w:r w:rsidRPr="009D442F">
        <w:t xml:space="preserve"> </w:t>
      </w:r>
      <w:r w:rsidRPr="00B06894">
        <w:t>a été</w:t>
      </w:r>
      <w:r>
        <w:t xml:space="preserve"> marquée par une amé</w:t>
      </w:r>
      <w:r w:rsidRPr="009D442F">
        <w:t>lioration d</w:t>
      </w:r>
      <w:r>
        <w:t>es performances</w:t>
      </w:r>
      <w:r w:rsidRPr="009D442F">
        <w:t>.</w:t>
      </w:r>
      <w:r>
        <w:t xml:space="preserve"> Ainsi, la production de grumes a progressé de 25,7</w:t>
      </w:r>
      <w:r w:rsidRPr="001F7820">
        <w:t>%</w:t>
      </w:r>
      <w:r>
        <w:t>, passant</w:t>
      </w:r>
      <w:r w:rsidRPr="001F7820">
        <w:t xml:space="preserve"> </w:t>
      </w:r>
      <w:r w:rsidRPr="004B14A6">
        <w:t>à 727 358 m</w:t>
      </w:r>
      <w:r w:rsidRPr="004B14A6">
        <w:rPr>
          <w:vertAlign w:val="superscript"/>
        </w:rPr>
        <w:t>3</w:t>
      </w:r>
      <w:r w:rsidRPr="004B14A6">
        <w:t>. Cette embellie résulte de la disponibilité des surfaces forestières exploitables et de la hausse de la demande des industries. Au cours de la même période, les achats de grumes ont augmenté de 6,1% alors que les ventes de grumes aux industries locales ont enregistré une progression de 4,2% à 210 460 m</w:t>
      </w:r>
      <w:r w:rsidRPr="004B14A6">
        <w:rPr>
          <w:vertAlign w:val="superscript"/>
        </w:rPr>
        <w:t>3</w:t>
      </w:r>
      <w:r w:rsidRPr="004B14A6">
        <w:t>.</w:t>
      </w:r>
      <w:r w:rsidRPr="00DB390B">
        <w:t xml:space="preserve"> </w:t>
      </w:r>
    </w:p>
    <w:p w:rsidR="008F715D" w:rsidRDefault="008F715D" w:rsidP="008F715D">
      <w:pPr>
        <w:jc w:val="both"/>
      </w:pPr>
    </w:p>
    <w:p w:rsidR="008F715D" w:rsidRDefault="008F715D" w:rsidP="008F715D">
      <w:pPr>
        <w:jc w:val="both"/>
        <w:rPr>
          <w:b/>
          <w:bCs/>
          <w:i/>
          <w:sz w:val="22"/>
          <w:szCs w:val="22"/>
        </w:rPr>
      </w:pPr>
      <w:r w:rsidRPr="00CB1F5B">
        <w:rPr>
          <w:b/>
          <w:bCs/>
          <w:i/>
          <w:sz w:val="22"/>
          <w:szCs w:val="22"/>
        </w:rPr>
        <w:t>Evolution de l'activité forestière</w:t>
      </w:r>
    </w:p>
    <w:tbl>
      <w:tblPr>
        <w:tblW w:w="8946" w:type="dxa"/>
        <w:tblInd w:w="55" w:type="dxa"/>
        <w:tblLayout w:type="fixed"/>
        <w:tblCellMar>
          <w:left w:w="70" w:type="dxa"/>
          <w:right w:w="70" w:type="dxa"/>
        </w:tblCellMar>
        <w:tblLook w:val="04A0"/>
      </w:tblPr>
      <w:tblGrid>
        <w:gridCol w:w="4840"/>
        <w:gridCol w:w="1368"/>
        <w:gridCol w:w="1369"/>
        <w:gridCol w:w="1369"/>
      </w:tblGrid>
      <w:tr w:rsidR="008F715D" w:rsidRPr="00DF167A"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bottom"/>
            <w:hideMark/>
          </w:tcPr>
          <w:p w:rsidR="008F715D" w:rsidRPr="00DF167A" w:rsidRDefault="008F715D" w:rsidP="002105A0">
            <w:pPr>
              <w:jc w:val="both"/>
              <w:rPr>
                <w:color w:val="000000"/>
              </w:rPr>
            </w:pPr>
            <w:r w:rsidRPr="00DF167A">
              <w:rPr>
                <w:color w:val="000000"/>
                <w:sz w:val="22"/>
                <w:szCs w:val="22"/>
              </w:rPr>
              <w:t>(en m3)</w:t>
            </w:r>
          </w:p>
        </w:tc>
        <w:tc>
          <w:tcPr>
            <w:tcW w:w="4106"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DF167A" w:rsidRDefault="008F715D" w:rsidP="002105A0">
            <w:pPr>
              <w:jc w:val="center"/>
              <w:rPr>
                <w:color w:val="000000"/>
              </w:rPr>
            </w:pPr>
            <w:r w:rsidRPr="00DF167A">
              <w:rPr>
                <w:color w:val="000000"/>
                <w:sz w:val="22"/>
                <w:szCs w:val="22"/>
              </w:rPr>
              <w:t>Premier semestre</w:t>
            </w:r>
          </w:p>
        </w:tc>
      </w:tr>
      <w:tr w:rsidR="008F715D" w:rsidRPr="00DF167A"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bottom"/>
            <w:hideMark/>
          </w:tcPr>
          <w:p w:rsidR="008F715D" w:rsidRPr="00DF167A" w:rsidRDefault="008F715D" w:rsidP="002105A0">
            <w:pPr>
              <w:rPr>
                <w:color w:val="000000"/>
              </w:rPr>
            </w:pPr>
            <w:r w:rsidRPr="00DF167A">
              <w:rPr>
                <w:color w:val="000000"/>
                <w:sz w:val="22"/>
                <w:szCs w:val="22"/>
              </w:rPr>
              <w:t>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F167A" w:rsidRDefault="008F715D" w:rsidP="002105A0">
            <w:pPr>
              <w:jc w:val="center"/>
              <w:rPr>
                <w:color w:val="000000"/>
              </w:rPr>
            </w:pPr>
            <w:r w:rsidRPr="00DF167A">
              <w:rPr>
                <w:color w:val="000000"/>
                <w:sz w:val="22"/>
                <w:szCs w:val="22"/>
              </w:rPr>
              <w:t>2015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F167A" w:rsidRDefault="008F715D" w:rsidP="002105A0">
            <w:pPr>
              <w:jc w:val="center"/>
              <w:rPr>
                <w:color w:val="000000"/>
              </w:rPr>
            </w:pPr>
            <w:r w:rsidRPr="00DF167A">
              <w:rPr>
                <w:color w:val="000000"/>
                <w:sz w:val="22"/>
                <w:szCs w:val="22"/>
              </w:rPr>
              <w:t>2016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F167A" w:rsidRDefault="008F715D" w:rsidP="002105A0">
            <w:pPr>
              <w:jc w:val="center"/>
            </w:pPr>
            <w:r w:rsidRPr="00DF167A">
              <w:rPr>
                <w:sz w:val="22"/>
                <w:szCs w:val="22"/>
              </w:rPr>
              <w:t>Var 16/15</w:t>
            </w:r>
          </w:p>
        </w:tc>
      </w:tr>
      <w:tr w:rsidR="008F715D" w:rsidRPr="00DF167A"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F167A" w:rsidRDefault="008F715D" w:rsidP="002105A0">
            <w:pPr>
              <w:rPr>
                <w:color w:val="000000"/>
              </w:rPr>
            </w:pPr>
            <w:r w:rsidRPr="00DF167A">
              <w:rPr>
                <w:color w:val="000000"/>
                <w:sz w:val="22"/>
                <w:szCs w:val="22"/>
              </w:rPr>
              <w:t xml:space="preserve">Production forestière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F167A" w:rsidRDefault="008F715D" w:rsidP="002105A0">
            <w:pPr>
              <w:jc w:val="center"/>
              <w:rPr>
                <w:color w:val="000000"/>
              </w:rPr>
            </w:pPr>
            <w:r w:rsidRPr="00DF167A">
              <w:rPr>
                <w:color w:val="000000"/>
                <w:sz w:val="22"/>
                <w:szCs w:val="22"/>
              </w:rPr>
              <w:t>578 660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F167A" w:rsidRDefault="008F715D" w:rsidP="002105A0">
            <w:pPr>
              <w:jc w:val="center"/>
              <w:rPr>
                <w:color w:val="000000"/>
              </w:rPr>
            </w:pPr>
            <w:r w:rsidRPr="00DF167A">
              <w:rPr>
                <w:color w:val="000000"/>
                <w:sz w:val="22"/>
                <w:szCs w:val="22"/>
              </w:rPr>
              <w:t>727 358</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F167A" w:rsidRDefault="008F715D" w:rsidP="002105A0">
            <w:pPr>
              <w:jc w:val="center"/>
            </w:pPr>
            <w:r w:rsidRPr="00DF167A">
              <w:rPr>
                <w:sz w:val="22"/>
                <w:szCs w:val="22"/>
              </w:rPr>
              <w:t>25,7%</w:t>
            </w:r>
          </w:p>
        </w:tc>
      </w:tr>
      <w:tr w:rsidR="008F715D" w:rsidRPr="00DF167A"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F167A" w:rsidRDefault="008F715D" w:rsidP="002105A0">
            <w:pPr>
              <w:rPr>
                <w:color w:val="000000"/>
              </w:rPr>
            </w:pPr>
            <w:r w:rsidRPr="00DF167A">
              <w:rPr>
                <w:color w:val="000000"/>
                <w:sz w:val="22"/>
                <w:szCs w:val="22"/>
              </w:rPr>
              <w:t>Achats de grumes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F167A" w:rsidRDefault="008F715D" w:rsidP="002105A0">
            <w:pPr>
              <w:jc w:val="center"/>
              <w:rPr>
                <w:color w:val="000000"/>
              </w:rPr>
            </w:pPr>
            <w:r w:rsidRPr="00DF167A">
              <w:rPr>
                <w:color w:val="000000"/>
                <w:sz w:val="22"/>
                <w:szCs w:val="22"/>
              </w:rPr>
              <w:t>41 006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F167A" w:rsidRDefault="008F715D" w:rsidP="002105A0">
            <w:pPr>
              <w:jc w:val="center"/>
              <w:rPr>
                <w:color w:val="000000"/>
              </w:rPr>
            </w:pPr>
            <w:r w:rsidRPr="00DF167A">
              <w:rPr>
                <w:color w:val="000000"/>
                <w:sz w:val="22"/>
                <w:szCs w:val="22"/>
              </w:rPr>
              <w:t>43 510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F167A" w:rsidRDefault="008F715D" w:rsidP="002105A0">
            <w:pPr>
              <w:jc w:val="center"/>
            </w:pPr>
            <w:r w:rsidRPr="00DF167A">
              <w:rPr>
                <w:sz w:val="22"/>
                <w:szCs w:val="22"/>
              </w:rPr>
              <w:t>6,1%</w:t>
            </w:r>
          </w:p>
        </w:tc>
      </w:tr>
      <w:tr w:rsidR="008F715D" w:rsidRPr="00DF167A"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F167A" w:rsidRDefault="008F715D" w:rsidP="002105A0">
            <w:pPr>
              <w:rPr>
                <w:color w:val="000000"/>
              </w:rPr>
            </w:pPr>
            <w:r w:rsidRPr="00DF167A">
              <w:rPr>
                <w:color w:val="000000"/>
                <w:sz w:val="22"/>
                <w:szCs w:val="22"/>
              </w:rPr>
              <w:t>Ventes aux industries locales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F167A" w:rsidRDefault="008F715D" w:rsidP="002105A0">
            <w:pPr>
              <w:jc w:val="center"/>
              <w:rPr>
                <w:color w:val="000000"/>
              </w:rPr>
            </w:pPr>
            <w:r w:rsidRPr="00DF167A">
              <w:rPr>
                <w:color w:val="000000"/>
                <w:sz w:val="22"/>
                <w:szCs w:val="22"/>
              </w:rPr>
              <w:t>202 020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F167A" w:rsidRDefault="008F715D" w:rsidP="002105A0">
            <w:pPr>
              <w:jc w:val="center"/>
              <w:rPr>
                <w:color w:val="000000"/>
              </w:rPr>
            </w:pPr>
            <w:r w:rsidRPr="00DF167A">
              <w:rPr>
                <w:color w:val="000000"/>
                <w:sz w:val="22"/>
                <w:szCs w:val="22"/>
              </w:rPr>
              <w:t>210 460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F167A" w:rsidRDefault="008F715D" w:rsidP="002105A0">
            <w:pPr>
              <w:jc w:val="center"/>
            </w:pPr>
            <w:r w:rsidRPr="00DF167A">
              <w:rPr>
                <w:sz w:val="22"/>
                <w:szCs w:val="22"/>
              </w:rPr>
              <w:t>4,2%</w:t>
            </w:r>
          </w:p>
        </w:tc>
      </w:tr>
    </w:tbl>
    <w:p w:rsidR="008F715D" w:rsidRPr="00C35E9D" w:rsidRDefault="008F715D" w:rsidP="008F715D">
      <w:pPr>
        <w:jc w:val="both"/>
        <w:rPr>
          <w:sz w:val="16"/>
          <w:szCs w:val="16"/>
        </w:rPr>
      </w:pPr>
      <w:r w:rsidRPr="00C35E9D">
        <w:rPr>
          <w:b/>
          <w:bCs/>
          <w:i/>
          <w:sz w:val="16"/>
          <w:szCs w:val="16"/>
        </w:rPr>
        <w:t>Sources: Dicb, Hua Jia, Sitrab, Somivab, Ifeg, Sbg, Rg Mb.Oy., Bso Ndjolé, Safor I., Rg</w:t>
      </w:r>
      <w:r w:rsidRPr="00C35E9D">
        <w:rPr>
          <w:b/>
          <w:i/>
          <w:sz w:val="16"/>
          <w:szCs w:val="16"/>
        </w:rPr>
        <w:t xml:space="preserve"> Mevang, Tali B., Rg Ivindo, Egb, Peng X. Mkk, Ceb, Cora W., Cbg, Bordamur Oy., Bso Minko Mibe, Ttib, Tbni Ow. Snbg</w:t>
      </w:r>
    </w:p>
    <w:p w:rsidR="008F715D" w:rsidRPr="00D149B6" w:rsidRDefault="008F715D" w:rsidP="008F715D">
      <w:pPr>
        <w:jc w:val="both"/>
        <w:rPr>
          <w:rFonts w:asciiTheme="majorBidi" w:hAnsiTheme="majorBidi" w:cstheme="majorBidi"/>
        </w:rPr>
      </w:pPr>
    </w:p>
    <w:p w:rsidR="008F715D" w:rsidRPr="00D149B6" w:rsidRDefault="008F715D" w:rsidP="008F715D">
      <w:pPr>
        <w:pStyle w:val="Titre2"/>
        <w:rPr>
          <w:rFonts w:asciiTheme="majorBidi" w:hAnsiTheme="majorBidi" w:cstheme="majorBidi"/>
          <w:b/>
          <w:bCs/>
          <w:i w:val="0"/>
          <w:color w:val="0000FF"/>
          <w:sz w:val="24"/>
        </w:rPr>
      </w:pPr>
      <w:bookmarkStart w:id="47" w:name="_Toc420027513"/>
      <w:bookmarkStart w:id="48" w:name="_Toc462990811"/>
      <w:r w:rsidRPr="00D149B6">
        <w:rPr>
          <w:rFonts w:asciiTheme="majorBidi" w:hAnsiTheme="majorBidi" w:cstheme="majorBidi"/>
          <w:b/>
          <w:bCs/>
          <w:i w:val="0"/>
          <w:color w:val="0000FF"/>
          <w:sz w:val="24"/>
        </w:rPr>
        <w:t>I</w:t>
      </w:r>
      <w:r>
        <w:rPr>
          <w:rFonts w:asciiTheme="majorBidi" w:hAnsiTheme="majorBidi" w:cstheme="majorBidi"/>
          <w:b/>
          <w:bCs/>
          <w:i w:val="0"/>
          <w:color w:val="0000FF"/>
          <w:sz w:val="24"/>
        </w:rPr>
        <w:t>I.6</w:t>
      </w:r>
      <w:r w:rsidRPr="00D149B6">
        <w:rPr>
          <w:rFonts w:asciiTheme="majorBidi" w:hAnsiTheme="majorBidi" w:cstheme="majorBidi"/>
          <w:b/>
          <w:bCs/>
          <w:i w:val="0"/>
          <w:color w:val="0000FF"/>
          <w:sz w:val="24"/>
        </w:rPr>
        <w:t xml:space="preserve">. L’AGRICULTURE ET </w:t>
      </w:r>
      <w:bookmarkEnd w:id="40"/>
      <w:r w:rsidRPr="00D149B6">
        <w:rPr>
          <w:rFonts w:asciiTheme="majorBidi" w:hAnsiTheme="majorBidi" w:cstheme="majorBidi"/>
          <w:b/>
          <w:bCs/>
          <w:i w:val="0"/>
          <w:color w:val="0000FF"/>
          <w:sz w:val="24"/>
        </w:rPr>
        <w:t>ELEVAGE</w:t>
      </w:r>
      <w:bookmarkEnd w:id="41"/>
      <w:bookmarkEnd w:id="42"/>
      <w:bookmarkEnd w:id="47"/>
      <w:bookmarkEnd w:id="48"/>
    </w:p>
    <w:p w:rsidR="008F715D" w:rsidRDefault="008F715D" w:rsidP="008F715D">
      <w:pPr>
        <w:rPr>
          <w:rFonts w:asciiTheme="majorBidi" w:hAnsiTheme="majorBidi" w:cstheme="majorBidi"/>
        </w:rPr>
      </w:pPr>
    </w:p>
    <w:p w:rsidR="008F715D" w:rsidRPr="00D149B6" w:rsidRDefault="008F715D" w:rsidP="008F715D">
      <w:pPr>
        <w:pStyle w:val="Titre3"/>
        <w:ind w:right="0" w:firstLine="0"/>
        <w:rPr>
          <w:rFonts w:asciiTheme="majorBidi" w:hAnsiTheme="majorBidi" w:cstheme="majorBidi"/>
          <w:b/>
          <w:bCs/>
          <w:i/>
          <w:iCs/>
          <w:color w:val="0000FF"/>
          <w:sz w:val="24"/>
        </w:rPr>
      </w:pPr>
      <w:bookmarkStart w:id="49" w:name="_Toc420027514"/>
      <w:bookmarkStart w:id="50" w:name="_Toc462990812"/>
      <w:bookmarkStart w:id="51" w:name="_Toc63511793"/>
      <w:bookmarkStart w:id="52" w:name="_Toc77665741"/>
      <w:bookmarkStart w:id="53" w:name="_Toc356891303"/>
      <w:bookmarkStart w:id="54" w:name="_Toc389653131"/>
      <w:bookmarkStart w:id="55" w:name="_Toc389653359"/>
      <w:r w:rsidRPr="00D149B6">
        <w:rPr>
          <w:rFonts w:asciiTheme="majorBidi" w:hAnsiTheme="majorBidi" w:cstheme="majorBidi"/>
          <w:b/>
          <w:bCs/>
          <w:i/>
          <w:iCs/>
          <w:color w:val="0000FF"/>
          <w:sz w:val="24"/>
        </w:rPr>
        <w:t>I</w:t>
      </w:r>
      <w:r>
        <w:rPr>
          <w:rFonts w:asciiTheme="majorBidi" w:hAnsiTheme="majorBidi" w:cstheme="majorBidi"/>
          <w:b/>
          <w:bCs/>
          <w:i/>
          <w:iCs/>
          <w:color w:val="0000FF"/>
          <w:sz w:val="24"/>
        </w:rPr>
        <w:t>I.6</w:t>
      </w:r>
      <w:r w:rsidRPr="00D149B6">
        <w:rPr>
          <w:rFonts w:asciiTheme="majorBidi" w:hAnsiTheme="majorBidi" w:cstheme="majorBidi"/>
          <w:b/>
          <w:bCs/>
          <w:i/>
          <w:iCs/>
          <w:color w:val="0000FF"/>
          <w:sz w:val="24"/>
        </w:rPr>
        <w:t>.</w:t>
      </w:r>
      <w:r>
        <w:rPr>
          <w:rFonts w:asciiTheme="majorBidi" w:hAnsiTheme="majorBidi" w:cstheme="majorBidi"/>
          <w:b/>
          <w:bCs/>
          <w:i/>
          <w:iCs/>
          <w:color w:val="0000FF"/>
          <w:sz w:val="24"/>
        </w:rPr>
        <w:t>1</w:t>
      </w:r>
      <w:r w:rsidRPr="00D149B6">
        <w:rPr>
          <w:rFonts w:asciiTheme="majorBidi" w:hAnsiTheme="majorBidi" w:cstheme="majorBidi"/>
          <w:b/>
          <w:bCs/>
          <w:i/>
          <w:iCs/>
          <w:color w:val="0000FF"/>
          <w:sz w:val="24"/>
        </w:rPr>
        <w:t>. Le caoutchouc naturel</w:t>
      </w:r>
      <w:bookmarkEnd w:id="49"/>
      <w:bookmarkEnd w:id="50"/>
    </w:p>
    <w:p w:rsidR="008F715D" w:rsidRPr="00D149B6" w:rsidRDefault="008F715D" w:rsidP="008F715D">
      <w:pPr>
        <w:jc w:val="both"/>
        <w:rPr>
          <w:rFonts w:asciiTheme="majorBidi" w:hAnsiTheme="majorBidi" w:cstheme="majorBidi"/>
        </w:rPr>
      </w:pPr>
    </w:p>
    <w:p w:rsidR="008F715D" w:rsidRPr="004B14A6" w:rsidRDefault="008F715D" w:rsidP="008F715D">
      <w:pPr>
        <w:ind w:right="44"/>
        <w:jc w:val="both"/>
        <w:rPr>
          <w:rFonts w:asciiTheme="majorBidi" w:hAnsiTheme="majorBidi" w:cstheme="majorBidi"/>
          <w:bCs/>
          <w:iCs/>
          <w:color w:val="000000"/>
        </w:rPr>
      </w:pPr>
      <w:r w:rsidRPr="004B14A6">
        <w:rPr>
          <w:rFonts w:asciiTheme="majorBidi" w:hAnsiTheme="majorBidi" w:cstheme="majorBidi"/>
          <w:bCs/>
          <w:iCs/>
          <w:color w:val="000000"/>
        </w:rPr>
        <w:t xml:space="preserve">L’activité de la filière caoutchouc naturel a été morose au cours du premier semestre 2016. En effet, la production de caoutchouc naturel en fonds de tasse a régressé de 19,7% pour se situer à 10 967 tonnes. De même, l’usinage du caoutchouc en granulés de 50 kg a connu une baisse de 28,1%, suite à l’arrêt de l’usine en vue des travaux de réhabilitation de l’outil de production. </w:t>
      </w:r>
    </w:p>
    <w:p w:rsidR="008F715D" w:rsidRPr="004B14A6" w:rsidRDefault="008F715D" w:rsidP="008F715D">
      <w:pPr>
        <w:ind w:right="44"/>
        <w:jc w:val="both"/>
        <w:rPr>
          <w:rFonts w:asciiTheme="majorBidi" w:hAnsiTheme="majorBidi" w:cstheme="majorBidi"/>
          <w:bCs/>
          <w:iCs/>
          <w:color w:val="000000"/>
        </w:rPr>
      </w:pPr>
    </w:p>
    <w:p w:rsidR="008F715D" w:rsidRPr="00025DF7" w:rsidRDefault="008F715D" w:rsidP="008F715D">
      <w:pPr>
        <w:ind w:right="44"/>
        <w:jc w:val="both"/>
        <w:rPr>
          <w:rFonts w:asciiTheme="majorBidi" w:hAnsiTheme="majorBidi" w:cstheme="majorBidi"/>
          <w:bCs/>
          <w:iCs/>
          <w:color w:val="000000"/>
        </w:rPr>
      </w:pPr>
      <w:r w:rsidRPr="004B14A6">
        <w:rPr>
          <w:rFonts w:asciiTheme="majorBidi" w:hAnsiTheme="majorBidi" w:cstheme="majorBidi"/>
          <w:bCs/>
          <w:iCs/>
          <w:color w:val="000000"/>
        </w:rPr>
        <w:t>Sur le plan commercial, les exportations de granulés ont enregistré un recul de 31,3%, induisant ainsi une chute de 42,% du chiffre d’affaires qui s’est situé à 4,2 milliards de FCFA, exacerbée par la baisse continue des cours du caoutchouc sur les marchés mondiaux.</w:t>
      </w:r>
    </w:p>
    <w:p w:rsidR="008F715D" w:rsidRDefault="008F715D" w:rsidP="008F715D">
      <w:pPr>
        <w:ind w:right="44"/>
        <w:jc w:val="both"/>
        <w:rPr>
          <w:rFonts w:asciiTheme="majorBidi" w:hAnsiTheme="majorBidi" w:cstheme="majorBidi"/>
          <w:bCs/>
          <w:iCs/>
          <w:color w:val="000000"/>
        </w:rPr>
      </w:pPr>
    </w:p>
    <w:p w:rsidR="008F715D" w:rsidRDefault="008F715D" w:rsidP="008F715D">
      <w:pPr>
        <w:ind w:right="44"/>
        <w:jc w:val="both"/>
        <w:rPr>
          <w:rFonts w:asciiTheme="majorBidi" w:hAnsiTheme="majorBidi" w:cstheme="majorBidi"/>
          <w:bCs/>
          <w:iCs/>
          <w:color w:val="000000"/>
        </w:rPr>
      </w:pPr>
    </w:p>
    <w:p w:rsidR="008F715D" w:rsidRPr="00716358" w:rsidRDefault="008F715D" w:rsidP="008F715D">
      <w:pPr>
        <w:ind w:right="44"/>
        <w:jc w:val="both"/>
        <w:rPr>
          <w:rFonts w:asciiTheme="majorBidi" w:hAnsiTheme="majorBidi" w:cstheme="majorBidi"/>
          <w:bCs/>
          <w:iCs/>
          <w:color w:val="000000"/>
        </w:rPr>
      </w:pPr>
    </w:p>
    <w:p w:rsidR="008F715D" w:rsidRDefault="008F715D" w:rsidP="008F715D">
      <w:pPr>
        <w:autoSpaceDE w:val="0"/>
        <w:autoSpaceDN w:val="0"/>
        <w:adjustRightInd w:val="0"/>
        <w:jc w:val="both"/>
        <w:rPr>
          <w:rFonts w:asciiTheme="majorBidi" w:hAnsiTheme="majorBidi" w:cstheme="majorBidi"/>
          <w:b/>
          <w:i/>
        </w:rPr>
      </w:pPr>
      <w:r w:rsidRPr="00CB1F5B">
        <w:rPr>
          <w:rFonts w:asciiTheme="majorBidi" w:hAnsiTheme="majorBidi" w:cstheme="majorBidi"/>
          <w:b/>
          <w:i/>
        </w:rPr>
        <w:t>Evolution de l’activité du caoutchouc</w:t>
      </w:r>
    </w:p>
    <w:tbl>
      <w:tblPr>
        <w:tblW w:w="8946" w:type="dxa"/>
        <w:tblInd w:w="55" w:type="dxa"/>
        <w:tblLayout w:type="fixed"/>
        <w:tblCellMar>
          <w:left w:w="70" w:type="dxa"/>
          <w:right w:w="70" w:type="dxa"/>
        </w:tblCellMar>
        <w:tblLook w:val="04A0"/>
      </w:tblPr>
      <w:tblGrid>
        <w:gridCol w:w="4840"/>
        <w:gridCol w:w="1368"/>
        <w:gridCol w:w="1369"/>
        <w:gridCol w:w="1369"/>
      </w:tblGrid>
      <w:tr w:rsidR="008F715D" w:rsidRPr="003352FE"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3352FE" w:rsidRDefault="008F715D" w:rsidP="002105A0">
            <w:pPr>
              <w:rPr>
                <w:color w:val="000000"/>
              </w:rPr>
            </w:pPr>
          </w:p>
        </w:tc>
        <w:tc>
          <w:tcPr>
            <w:tcW w:w="4106"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rPr>
                <w:color w:val="000000"/>
              </w:rPr>
            </w:pPr>
            <w:r w:rsidRPr="003352FE">
              <w:rPr>
                <w:color w:val="000000"/>
                <w:sz w:val="22"/>
                <w:szCs w:val="22"/>
              </w:rPr>
              <w:t>Premier semestre</w:t>
            </w:r>
          </w:p>
        </w:tc>
      </w:tr>
      <w:tr w:rsidR="008F715D" w:rsidRPr="003352F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352FE" w:rsidRDefault="008F715D" w:rsidP="002105A0">
            <w:pPr>
              <w:rPr>
                <w:color w:val="000000"/>
              </w:rPr>
            </w:pPr>
            <w:r w:rsidRPr="003352FE">
              <w:rPr>
                <w:color w:val="000000"/>
                <w:sz w:val="22"/>
                <w:szCs w:val="22"/>
              </w:rPr>
              <w:t>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rPr>
                <w:color w:val="000000"/>
              </w:rPr>
            </w:pPr>
            <w:r w:rsidRPr="003352FE">
              <w:rPr>
                <w:color w:val="000000"/>
                <w:sz w:val="22"/>
                <w:szCs w:val="22"/>
              </w:rPr>
              <w:t>2015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rPr>
                <w:color w:val="000000"/>
              </w:rPr>
            </w:pPr>
            <w:r w:rsidRPr="003352FE">
              <w:rPr>
                <w:color w:val="000000"/>
                <w:sz w:val="22"/>
                <w:szCs w:val="22"/>
              </w:rPr>
              <w:t>2016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Var 16/15</w:t>
            </w:r>
          </w:p>
        </w:tc>
      </w:tr>
      <w:tr w:rsidR="008F715D" w:rsidRPr="003352F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352FE" w:rsidRDefault="008F715D" w:rsidP="002105A0">
            <w:pPr>
              <w:rPr>
                <w:color w:val="000000"/>
              </w:rPr>
            </w:pPr>
            <w:r w:rsidRPr="003352FE">
              <w:rPr>
                <w:color w:val="000000"/>
                <w:sz w:val="22"/>
                <w:szCs w:val="22"/>
              </w:rPr>
              <w:t>Productions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 </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 </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 </w:t>
            </w:r>
          </w:p>
        </w:tc>
      </w:tr>
      <w:tr w:rsidR="008F715D" w:rsidRPr="003352F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352FE" w:rsidRDefault="008F715D" w:rsidP="002105A0">
            <w:pPr>
              <w:rPr>
                <w:color w:val="000000"/>
              </w:rPr>
            </w:pPr>
            <w:r w:rsidRPr="003352FE">
              <w:rPr>
                <w:color w:val="000000"/>
                <w:sz w:val="22"/>
                <w:szCs w:val="22"/>
              </w:rPr>
              <w:t xml:space="preserve">   Caoutchouc humide (en tonnes)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13 655,6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10 967,4</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rPr>
                <w:color w:val="FF0000"/>
              </w:rPr>
            </w:pPr>
            <w:r w:rsidRPr="003352FE">
              <w:rPr>
                <w:color w:val="FF0000"/>
                <w:sz w:val="22"/>
                <w:szCs w:val="22"/>
              </w:rPr>
              <w:t>-19,7%</w:t>
            </w:r>
          </w:p>
        </w:tc>
      </w:tr>
      <w:tr w:rsidR="008F715D" w:rsidRPr="003352F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352FE" w:rsidRDefault="008F715D" w:rsidP="002105A0">
            <w:pPr>
              <w:rPr>
                <w:color w:val="000000"/>
              </w:rPr>
            </w:pPr>
            <w:r w:rsidRPr="003352FE">
              <w:rPr>
                <w:color w:val="000000"/>
                <w:sz w:val="22"/>
                <w:szCs w:val="22"/>
              </w:rPr>
              <w:t xml:space="preserve">   Caoutchouc usiné (en tonnes)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8 528,0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6 129,9</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rPr>
                <w:color w:val="FF0000"/>
              </w:rPr>
            </w:pPr>
            <w:r w:rsidRPr="003352FE">
              <w:rPr>
                <w:color w:val="FF0000"/>
                <w:sz w:val="22"/>
                <w:szCs w:val="22"/>
              </w:rPr>
              <w:t>-28,1%</w:t>
            </w:r>
          </w:p>
        </w:tc>
      </w:tr>
      <w:tr w:rsidR="008F715D" w:rsidRPr="003352F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352FE" w:rsidRDefault="008F715D" w:rsidP="002105A0">
            <w:pPr>
              <w:rPr>
                <w:color w:val="000000"/>
              </w:rPr>
            </w:pPr>
            <w:r w:rsidRPr="003352FE">
              <w:rPr>
                <w:color w:val="000000"/>
                <w:sz w:val="22"/>
                <w:szCs w:val="22"/>
              </w:rPr>
              <w:t>Exportations de caoutchouc usiné (en tonnes)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8 772,4</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6 031,7</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rPr>
                <w:color w:val="FF0000"/>
              </w:rPr>
            </w:pPr>
            <w:r w:rsidRPr="003352FE">
              <w:rPr>
                <w:color w:val="FF0000"/>
                <w:sz w:val="22"/>
                <w:szCs w:val="22"/>
              </w:rPr>
              <w:t>-31,2%</w:t>
            </w:r>
          </w:p>
        </w:tc>
      </w:tr>
      <w:tr w:rsidR="008F715D" w:rsidRPr="003352F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352FE" w:rsidRDefault="008F715D" w:rsidP="002105A0">
            <w:pPr>
              <w:rPr>
                <w:color w:val="000000"/>
              </w:rPr>
            </w:pPr>
            <w:r w:rsidRPr="003352FE">
              <w:rPr>
                <w:color w:val="000000"/>
                <w:sz w:val="22"/>
                <w:szCs w:val="22"/>
              </w:rPr>
              <w:t>Chiffre d’affaires (en millions de FCFA)</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7 265,8</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4 212,6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rPr>
                <w:color w:val="FF0000"/>
              </w:rPr>
            </w:pPr>
            <w:r w:rsidRPr="003352FE">
              <w:rPr>
                <w:color w:val="FF0000"/>
                <w:sz w:val="22"/>
                <w:szCs w:val="22"/>
              </w:rPr>
              <w:t>-42,0%</w:t>
            </w:r>
          </w:p>
        </w:tc>
      </w:tr>
      <w:tr w:rsidR="008F715D" w:rsidRPr="003352F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352FE" w:rsidRDefault="008F715D" w:rsidP="002105A0">
            <w:pPr>
              <w:rPr>
                <w:color w:val="000000"/>
              </w:rPr>
            </w:pPr>
            <w:r w:rsidRPr="003352FE">
              <w:rPr>
                <w:color w:val="000000"/>
                <w:sz w:val="22"/>
                <w:szCs w:val="22"/>
              </w:rPr>
              <w:t>Effectifs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181,0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185,0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rPr>
                <w:color w:val="FF0000"/>
              </w:rPr>
            </w:pPr>
            <w:r w:rsidRPr="003352FE">
              <w:rPr>
                <w:color w:val="FF0000"/>
                <w:sz w:val="22"/>
                <w:szCs w:val="22"/>
              </w:rPr>
              <w:t>2,2%</w:t>
            </w:r>
          </w:p>
        </w:tc>
      </w:tr>
      <w:tr w:rsidR="008F715D" w:rsidRPr="003352F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352FE" w:rsidRDefault="008F715D" w:rsidP="002105A0">
            <w:pPr>
              <w:rPr>
                <w:color w:val="000000"/>
              </w:rPr>
            </w:pPr>
            <w:r w:rsidRPr="003352FE">
              <w:rPr>
                <w:color w:val="000000"/>
                <w:sz w:val="22"/>
                <w:szCs w:val="22"/>
              </w:rPr>
              <w:t>Masse salariale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641,2</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pPr>
            <w:r w:rsidRPr="003352FE">
              <w:rPr>
                <w:sz w:val="22"/>
                <w:szCs w:val="22"/>
              </w:rPr>
              <w:t>634,5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3352FE" w:rsidRDefault="008F715D" w:rsidP="002105A0">
            <w:pPr>
              <w:jc w:val="center"/>
              <w:rPr>
                <w:color w:val="FF0000"/>
              </w:rPr>
            </w:pPr>
            <w:r w:rsidRPr="003352FE">
              <w:rPr>
                <w:color w:val="FF0000"/>
                <w:sz w:val="22"/>
                <w:szCs w:val="22"/>
              </w:rPr>
              <w:t>-1,1%</w:t>
            </w:r>
          </w:p>
        </w:tc>
      </w:tr>
    </w:tbl>
    <w:p w:rsidR="008F715D" w:rsidRPr="00D149B6" w:rsidRDefault="008F715D" w:rsidP="008F715D">
      <w:pPr>
        <w:autoSpaceDE w:val="0"/>
        <w:autoSpaceDN w:val="0"/>
        <w:adjustRightInd w:val="0"/>
        <w:jc w:val="both"/>
        <w:rPr>
          <w:rFonts w:asciiTheme="majorBidi" w:hAnsiTheme="majorBidi" w:cstheme="majorBidi"/>
          <w:b/>
          <w:bCs/>
          <w:i/>
          <w:iCs/>
          <w:sz w:val="16"/>
          <w:szCs w:val="16"/>
        </w:rPr>
      </w:pPr>
      <w:r w:rsidRPr="00D149B6">
        <w:rPr>
          <w:rFonts w:asciiTheme="majorBidi" w:hAnsiTheme="majorBidi" w:cstheme="majorBidi"/>
          <w:b/>
          <w:bCs/>
          <w:i/>
          <w:iCs/>
          <w:sz w:val="16"/>
          <w:szCs w:val="16"/>
        </w:rPr>
        <w:t>Source : SIAT</w:t>
      </w:r>
    </w:p>
    <w:p w:rsidR="008F715D" w:rsidRPr="00D149B6" w:rsidRDefault="008F715D" w:rsidP="008F715D">
      <w:pPr>
        <w:autoSpaceDE w:val="0"/>
        <w:autoSpaceDN w:val="0"/>
        <w:adjustRightInd w:val="0"/>
        <w:jc w:val="both"/>
        <w:rPr>
          <w:rFonts w:asciiTheme="majorBidi" w:hAnsiTheme="majorBidi" w:cstheme="majorBidi"/>
        </w:rPr>
      </w:pPr>
    </w:p>
    <w:p w:rsidR="008F715D" w:rsidRDefault="008F715D" w:rsidP="008F715D">
      <w:pPr>
        <w:pStyle w:val="Titre3"/>
        <w:ind w:right="0" w:firstLine="0"/>
        <w:rPr>
          <w:rFonts w:asciiTheme="majorBidi" w:hAnsiTheme="majorBidi" w:cstheme="majorBidi"/>
          <w:b/>
          <w:bCs/>
          <w:i/>
          <w:iCs/>
          <w:color w:val="0000FF"/>
          <w:sz w:val="24"/>
        </w:rPr>
      </w:pPr>
      <w:bookmarkStart w:id="56" w:name="_Toc389653130"/>
      <w:bookmarkStart w:id="57" w:name="_Toc389653358"/>
      <w:bookmarkStart w:id="58" w:name="_Toc397691602"/>
      <w:bookmarkStart w:id="59" w:name="_Toc420027515"/>
      <w:bookmarkStart w:id="60" w:name="_Toc462990813"/>
      <w:r w:rsidRPr="00D149B6">
        <w:rPr>
          <w:rFonts w:asciiTheme="majorBidi" w:hAnsiTheme="majorBidi" w:cstheme="majorBidi"/>
          <w:b/>
          <w:bCs/>
          <w:i/>
          <w:iCs/>
          <w:color w:val="0000FF"/>
          <w:sz w:val="24"/>
        </w:rPr>
        <w:t>I</w:t>
      </w:r>
      <w:r>
        <w:rPr>
          <w:rFonts w:asciiTheme="majorBidi" w:hAnsiTheme="majorBidi" w:cstheme="majorBidi"/>
          <w:b/>
          <w:bCs/>
          <w:i/>
          <w:iCs/>
          <w:color w:val="0000FF"/>
          <w:sz w:val="24"/>
        </w:rPr>
        <w:t>I.6</w:t>
      </w:r>
      <w:r w:rsidRPr="00D149B6">
        <w:rPr>
          <w:rFonts w:asciiTheme="majorBidi" w:hAnsiTheme="majorBidi" w:cstheme="majorBidi"/>
          <w:b/>
          <w:bCs/>
          <w:i/>
          <w:iCs/>
          <w:color w:val="0000FF"/>
          <w:sz w:val="24"/>
        </w:rPr>
        <w:t>.</w:t>
      </w:r>
      <w:r>
        <w:rPr>
          <w:rFonts w:asciiTheme="majorBidi" w:hAnsiTheme="majorBidi" w:cstheme="majorBidi"/>
          <w:b/>
          <w:bCs/>
          <w:i/>
          <w:iCs/>
          <w:color w:val="0000FF"/>
          <w:sz w:val="24"/>
        </w:rPr>
        <w:t>2</w:t>
      </w:r>
      <w:r w:rsidRPr="00D149B6">
        <w:rPr>
          <w:rFonts w:asciiTheme="majorBidi" w:hAnsiTheme="majorBidi" w:cstheme="majorBidi"/>
          <w:b/>
          <w:bCs/>
          <w:i/>
          <w:iCs/>
          <w:color w:val="0000FF"/>
          <w:sz w:val="24"/>
        </w:rPr>
        <w:t>. L’élevage</w:t>
      </w:r>
      <w:bookmarkEnd w:id="56"/>
      <w:bookmarkEnd w:id="57"/>
      <w:bookmarkEnd w:id="58"/>
      <w:bookmarkEnd w:id="59"/>
      <w:bookmarkEnd w:id="60"/>
    </w:p>
    <w:p w:rsidR="008F715D" w:rsidRDefault="008F715D" w:rsidP="008F715D"/>
    <w:p w:rsidR="008F715D" w:rsidRDefault="008F715D" w:rsidP="008F715D">
      <w:pPr>
        <w:pStyle w:val="Titre3"/>
        <w:ind w:right="0" w:firstLine="0"/>
        <w:rPr>
          <w:rFonts w:asciiTheme="majorBidi" w:hAnsiTheme="majorBidi" w:cstheme="majorBidi"/>
          <w:b/>
          <w:bCs/>
          <w:i/>
          <w:iCs/>
          <w:color w:val="0000FF"/>
          <w:sz w:val="24"/>
        </w:rPr>
      </w:pPr>
      <w:bookmarkStart w:id="61" w:name="_Toc462990814"/>
      <w:r>
        <w:rPr>
          <w:rFonts w:asciiTheme="majorBidi" w:hAnsiTheme="majorBidi" w:cstheme="majorBidi"/>
          <w:b/>
          <w:bCs/>
          <w:i/>
          <w:iCs/>
          <w:color w:val="0000FF"/>
          <w:sz w:val="24"/>
        </w:rPr>
        <w:t>II.6</w:t>
      </w:r>
      <w:r w:rsidRPr="00D149B6">
        <w:rPr>
          <w:rFonts w:asciiTheme="majorBidi" w:hAnsiTheme="majorBidi" w:cstheme="majorBidi"/>
          <w:b/>
          <w:bCs/>
          <w:i/>
          <w:iCs/>
          <w:color w:val="0000FF"/>
          <w:sz w:val="24"/>
        </w:rPr>
        <w:t>.</w:t>
      </w:r>
      <w:r>
        <w:rPr>
          <w:rFonts w:asciiTheme="majorBidi" w:hAnsiTheme="majorBidi" w:cstheme="majorBidi"/>
          <w:b/>
          <w:bCs/>
          <w:i/>
          <w:iCs/>
          <w:color w:val="0000FF"/>
          <w:sz w:val="24"/>
        </w:rPr>
        <w:t>2.1</w:t>
      </w:r>
      <w:r w:rsidRPr="00D149B6">
        <w:rPr>
          <w:rFonts w:asciiTheme="majorBidi" w:hAnsiTheme="majorBidi" w:cstheme="majorBidi"/>
          <w:b/>
          <w:bCs/>
          <w:i/>
          <w:iCs/>
          <w:color w:val="0000FF"/>
          <w:sz w:val="24"/>
        </w:rPr>
        <w:t>. L’élevage</w:t>
      </w:r>
      <w:r>
        <w:rPr>
          <w:rFonts w:asciiTheme="majorBidi" w:hAnsiTheme="majorBidi" w:cstheme="majorBidi"/>
          <w:b/>
          <w:bCs/>
          <w:i/>
          <w:iCs/>
          <w:color w:val="0000FF"/>
          <w:sz w:val="24"/>
        </w:rPr>
        <w:t xml:space="preserve"> bovin</w:t>
      </w:r>
      <w:bookmarkEnd w:id="61"/>
    </w:p>
    <w:p w:rsidR="008F715D" w:rsidRDefault="008F715D" w:rsidP="008F715D"/>
    <w:p w:rsidR="008F715D" w:rsidRDefault="008F715D" w:rsidP="008F715D">
      <w:pPr>
        <w:contextualSpacing/>
        <w:jc w:val="both"/>
        <w:rPr>
          <w:rFonts w:asciiTheme="majorBidi" w:hAnsiTheme="majorBidi" w:cstheme="majorBidi"/>
        </w:rPr>
      </w:pPr>
      <w:r w:rsidRPr="00FD415B">
        <w:rPr>
          <w:rFonts w:asciiTheme="majorBidi" w:hAnsiTheme="majorBidi" w:cstheme="majorBidi"/>
        </w:rPr>
        <w:t>Au premier semestre 2016</w:t>
      </w:r>
      <w:r>
        <w:rPr>
          <w:rFonts w:asciiTheme="majorBidi" w:hAnsiTheme="majorBidi" w:cstheme="majorBidi"/>
        </w:rPr>
        <w:t>,</w:t>
      </w:r>
      <w:r w:rsidRPr="00FD415B">
        <w:rPr>
          <w:rFonts w:asciiTheme="majorBidi" w:hAnsiTheme="majorBidi" w:cstheme="majorBidi"/>
        </w:rPr>
        <w:t xml:space="preserve"> le cheptel </w:t>
      </w:r>
      <w:r>
        <w:rPr>
          <w:rFonts w:asciiTheme="majorBidi" w:hAnsiTheme="majorBidi" w:cstheme="majorBidi"/>
        </w:rPr>
        <w:t xml:space="preserve">du ranch Nyanga a </w:t>
      </w:r>
      <w:r w:rsidRPr="00FD415B">
        <w:rPr>
          <w:rFonts w:asciiTheme="majorBidi" w:hAnsiTheme="majorBidi" w:cstheme="majorBidi"/>
        </w:rPr>
        <w:t>augment</w:t>
      </w:r>
      <w:r>
        <w:rPr>
          <w:rFonts w:asciiTheme="majorBidi" w:hAnsiTheme="majorBidi" w:cstheme="majorBidi"/>
        </w:rPr>
        <w:t>é</w:t>
      </w:r>
      <w:r w:rsidRPr="00FD415B">
        <w:rPr>
          <w:rFonts w:asciiTheme="majorBidi" w:hAnsiTheme="majorBidi" w:cstheme="majorBidi"/>
        </w:rPr>
        <w:t xml:space="preserve"> de </w:t>
      </w:r>
      <w:r>
        <w:rPr>
          <w:rFonts w:asciiTheme="majorBidi" w:hAnsiTheme="majorBidi" w:cstheme="majorBidi"/>
        </w:rPr>
        <w:t>6,</w:t>
      </w:r>
      <w:r w:rsidRPr="00FD415B">
        <w:rPr>
          <w:rFonts w:asciiTheme="majorBidi" w:hAnsiTheme="majorBidi" w:cstheme="majorBidi"/>
        </w:rPr>
        <w:t>7% par rapport au premier semestre 2015 attei</w:t>
      </w:r>
      <w:r>
        <w:rPr>
          <w:rFonts w:asciiTheme="majorBidi" w:hAnsiTheme="majorBidi" w:cstheme="majorBidi"/>
        </w:rPr>
        <w:t>gna</w:t>
      </w:r>
      <w:r w:rsidRPr="00FD415B">
        <w:rPr>
          <w:rFonts w:asciiTheme="majorBidi" w:hAnsiTheme="majorBidi" w:cstheme="majorBidi"/>
        </w:rPr>
        <w:t>nt 4</w:t>
      </w:r>
      <w:r>
        <w:rPr>
          <w:rFonts w:asciiTheme="majorBidi" w:hAnsiTheme="majorBidi" w:cstheme="majorBidi"/>
        </w:rPr>
        <w:t> </w:t>
      </w:r>
      <w:r w:rsidRPr="00FD415B">
        <w:rPr>
          <w:rFonts w:asciiTheme="majorBidi" w:hAnsiTheme="majorBidi" w:cstheme="majorBidi"/>
        </w:rPr>
        <w:t>922</w:t>
      </w:r>
      <w:r>
        <w:rPr>
          <w:rFonts w:asciiTheme="majorBidi" w:hAnsiTheme="majorBidi" w:cstheme="majorBidi"/>
        </w:rPr>
        <w:t xml:space="preserve"> t</w:t>
      </w:r>
      <w:r w:rsidRPr="00FD415B">
        <w:rPr>
          <w:rFonts w:asciiTheme="majorBidi" w:hAnsiTheme="majorBidi" w:cstheme="majorBidi"/>
        </w:rPr>
        <w:t>êtes.</w:t>
      </w:r>
      <w:r>
        <w:rPr>
          <w:rFonts w:asciiTheme="majorBidi" w:hAnsiTheme="majorBidi" w:cstheme="majorBidi"/>
        </w:rPr>
        <w:t xml:space="preserve"> </w:t>
      </w:r>
      <w:r w:rsidRPr="00FD415B">
        <w:rPr>
          <w:rFonts w:asciiTheme="majorBidi" w:hAnsiTheme="majorBidi" w:cstheme="majorBidi"/>
        </w:rPr>
        <w:t>Par contre</w:t>
      </w:r>
      <w:r>
        <w:rPr>
          <w:rFonts w:asciiTheme="majorBidi" w:hAnsiTheme="majorBidi" w:cstheme="majorBidi"/>
        </w:rPr>
        <w:t>,</w:t>
      </w:r>
      <w:r w:rsidRPr="00FD415B">
        <w:rPr>
          <w:rFonts w:asciiTheme="majorBidi" w:hAnsiTheme="majorBidi" w:cstheme="majorBidi"/>
        </w:rPr>
        <w:t xml:space="preserve"> la </w:t>
      </w:r>
      <w:r>
        <w:rPr>
          <w:rFonts w:asciiTheme="majorBidi" w:hAnsiTheme="majorBidi" w:cstheme="majorBidi"/>
        </w:rPr>
        <w:t>vente de viande</w:t>
      </w:r>
      <w:r w:rsidRPr="00FD415B">
        <w:rPr>
          <w:rFonts w:asciiTheme="majorBidi" w:hAnsiTheme="majorBidi" w:cstheme="majorBidi"/>
        </w:rPr>
        <w:t xml:space="preserve"> </w:t>
      </w:r>
      <w:r>
        <w:rPr>
          <w:rFonts w:asciiTheme="majorBidi" w:hAnsiTheme="majorBidi" w:cstheme="majorBidi"/>
        </w:rPr>
        <w:t xml:space="preserve">a </w:t>
      </w:r>
      <w:r w:rsidRPr="00FD415B">
        <w:rPr>
          <w:rFonts w:asciiTheme="majorBidi" w:hAnsiTheme="majorBidi" w:cstheme="majorBidi"/>
        </w:rPr>
        <w:t>conn</w:t>
      </w:r>
      <w:r>
        <w:rPr>
          <w:rFonts w:asciiTheme="majorBidi" w:hAnsiTheme="majorBidi" w:cstheme="majorBidi"/>
        </w:rPr>
        <w:t>u un fléchissement</w:t>
      </w:r>
      <w:r w:rsidRPr="00FD415B">
        <w:rPr>
          <w:rFonts w:asciiTheme="majorBidi" w:hAnsiTheme="majorBidi" w:cstheme="majorBidi"/>
        </w:rPr>
        <w:t xml:space="preserve"> de 3</w:t>
      </w:r>
      <w:r>
        <w:rPr>
          <w:rFonts w:asciiTheme="majorBidi" w:hAnsiTheme="majorBidi" w:cstheme="majorBidi"/>
        </w:rPr>
        <w:t>6,</w:t>
      </w:r>
      <w:r w:rsidRPr="00FD415B">
        <w:rPr>
          <w:rFonts w:asciiTheme="majorBidi" w:hAnsiTheme="majorBidi" w:cstheme="majorBidi"/>
        </w:rPr>
        <w:t>7%</w:t>
      </w:r>
      <w:r>
        <w:rPr>
          <w:rFonts w:asciiTheme="majorBidi" w:hAnsiTheme="majorBidi" w:cstheme="majorBidi"/>
        </w:rPr>
        <w:t>,</w:t>
      </w:r>
      <w:r w:rsidRPr="00FD415B">
        <w:rPr>
          <w:rFonts w:asciiTheme="majorBidi" w:hAnsiTheme="majorBidi" w:cstheme="majorBidi"/>
        </w:rPr>
        <w:t xml:space="preserve"> se situant à 37</w:t>
      </w:r>
      <w:r>
        <w:rPr>
          <w:rFonts w:asciiTheme="majorBidi" w:hAnsiTheme="majorBidi" w:cstheme="majorBidi"/>
        </w:rPr>
        <w:t>,</w:t>
      </w:r>
      <w:r w:rsidRPr="00FD415B">
        <w:rPr>
          <w:rFonts w:asciiTheme="majorBidi" w:hAnsiTheme="majorBidi" w:cstheme="majorBidi"/>
        </w:rPr>
        <w:t xml:space="preserve">5 </w:t>
      </w:r>
      <w:r>
        <w:rPr>
          <w:rFonts w:asciiTheme="majorBidi" w:hAnsiTheme="majorBidi" w:cstheme="majorBidi"/>
        </w:rPr>
        <w:t>tonnes à fin juin</w:t>
      </w:r>
      <w:r w:rsidRPr="00FD415B">
        <w:rPr>
          <w:rFonts w:asciiTheme="majorBidi" w:hAnsiTheme="majorBidi" w:cstheme="majorBidi"/>
        </w:rPr>
        <w:t xml:space="preserve"> 2016</w:t>
      </w:r>
      <w:r>
        <w:rPr>
          <w:rFonts w:asciiTheme="majorBidi" w:hAnsiTheme="majorBidi" w:cstheme="majorBidi"/>
        </w:rPr>
        <w:t xml:space="preserve">, générant un chiffre d’affaires </w:t>
      </w:r>
      <w:r w:rsidRPr="004B14A6">
        <w:rPr>
          <w:rFonts w:asciiTheme="majorBidi" w:hAnsiTheme="majorBidi" w:cstheme="majorBidi"/>
        </w:rPr>
        <w:t xml:space="preserve">de 164 millions de FCFA. Cette situation est imputable à la diminution </w:t>
      </w:r>
      <w:r>
        <w:rPr>
          <w:rFonts w:asciiTheme="majorBidi" w:hAnsiTheme="majorBidi" w:cstheme="majorBidi"/>
        </w:rPr>
        <w:t xml:space="preserve">du nombre </w:t>
      </w:r>
      <w:r w:rsidRPr="004B14A6">
        <w:rPr>
          <w:rFonts w:asciiTheme="majorBidi" w:hAnsiTheme="majorBidi" w:cstheme="majorBidi"/>
        </w:rPr>
        <w:t>des bêtes éligibles</w:t>
      </w:r>
      <w:r>
        <w:rPr>
          <w:rFonts w:asciiTheme="majorBidi" w:hAnsiTheme="majorBidi" w:cstheme="majorBidi"/>
        </w:rPr>
        <w:t xml:space="preserve"> </w:t>
      </w:r>
      <w:r w:rsidRPr="00FD415B">
        <w:rPr>
          <w:rFonts w:asciiTheme="majorBidi" w:hAnsiTheme="majorBidi" w:cstheme="majorBidi"/>
        </w:rPr>
        <w:t>à l’abattage.</w:t>
      </w:r>
      <w:r>
        <w:rPr>
          <w:rFonts w:asciiTheme="majorBidi" w:hAnsiTheme="majorBidi" w:cstheme="majorBidi"/>
        </w:rPr>
        <w:t xml:space="preserve"> </w:t>
      </w:r>
    </w:p>
    <w:p w:rsidR="008F715D" w:rsidRPr="00CB1F5B"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b/>
          <w:bCs/>
          <w:i/>
          <w:iCs/>
        </w:rPr>
      </w:pPr>
      <w:r w:rsidRPr="00CB1F5B">
        <w:rPr>
          <w:rFonts w:asciiTheme="majorBidi" w:hAnsiTheme="majorBidi" w:cstheme="majorBidi"/>
          <w:b/>
          <w:bCs/>
          <w:i/>
          <w:iCs/>
        </w:rPr>
        <w:t>Evolution de l’élevage bovin</w:t>
      </w:r>
    </w:p>
    <w:tbl>
      <w:tblPr>
        <w:tblW w:w="8804" w:type="dxa"/>
        <w:tblInd w:w="55" w:type="dxa"/>
        <w:tblLayout w:type="fixed"/>
        <w:tblCellMar>
          <w:left w:w="70" w:type="dxa"/>
          <w:right w:w="70" w:type="dxa"/>
        </w:tblCellMar>
        <w:tblLook w:val="04A0"/>
      </w:tblPr>
      <w:tblGrid>
        <w:gridCol w:w="4840"/>
        <w:gridCol w:w="1321"/>
        <w:gridCol w:w="1321"/>
        <w:gridCol w:w="1322"/>
      </w:tblGrid>
      <w:tr w:rsidR="008F715D" w:rsidRPr="00105608"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105608" w:rsidRDefault="008F715D" w:rsidP="002105A0">
            <w:pPr>
              <w:rPr>
                <w:color w:val="000000"/>
              </w:rPr>
            </w:pPr>
            <w:r w:rsidRPr="00105608">
              <w:rPr>
                <w:color w:val="000000"/>
                <w:sz w:val="22"/>
                <w:szCs w:val="22"/>
              </w:rPr>
              <w:t> </w:t>
            </w:r>
          </w:p>
        </w:tc>
        <w:tc>
          <w:tcPr>
            <w:tcW w:w="3964"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color w:val="000000"/>
              </w:rPr>
            </w:pPr>
            <w:r w:rsidRPr="00105608">
              <w:rPr>
                <w:color w:val="000000"/>
                <w:sz w:val="22"/>
                <w:szCs w:val="22"/>
              </w:rPr>
              <w:t>Premier semestre</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pPr>
              <w:rPr>
                <w:color w:val="000000"/>
              </w:rPr>
            </w:pPr>
            <w:r w:rsidRPr="00105608">
              <w:rPr>
                <w:color w:val="000000"/>
                <w:sz w:val="22"/>
                <w:szCs w:val="22"/>
              </w:rPr>
              <w:t> </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color w:val="000000"/>
              </w:rPr>
            </w:pPr>
            <w:r w:rsidRPr="00105608">
              <w:rPr>
                <w:color w:val="000000"/>
                <w:sz w:val="22"/>
                <w:szCs w:val="22"/>
              </w:rPr>
              <w:t>2015</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color w:val="000000"/>
              </w:rPr>
            </w:pPr>
            <w:r w:rsidRPr="00105608">
              <w:rPr>
                <w:color w:val="000000"/>
                <w:sz w:val="22"/>
                <w:szCs w:val="22"/>
              </w:rPr>
              <w:t>2016</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Var 16/15</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r w:rsidRPr="00105608">
              <w:rPr>
                <w:sz w:val="22"/>
                <w:szCs w:val="22"/>
              </w:rPr>
              <w:t>Effectif du cheptel</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4 614</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color w:val="000000"/>
              </w:rPr>
            </w:pPr>
            <w:r w:rsidRPr="00105608">
              <w:rPr>
                <w:color w:val="000000"/>
                <w:sz w:val="22"/>
                <w:szCs w:val="22"/>
              </w:rPr>
              <w:t>4 922</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6,7%</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pPr>
              <w:rPr>
                <w:lang w:val="es-ES"/>
              </w:rPr>
            </w:pPr>
            <w:r w:rsidRPr="00105608">
              <w:rPr>
                <w:sz w:val="22"/>
                <w:szCs w:val="22"/>
                <w:lang w:val="es-ES"/>
              </w:rPr>
              <w:t>Vente de viande (en kg)</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59 275</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color w:val="000000"/>
              </w:rPr>
            </w:pPr>
            <w:r w:rsidRPr="00105608">
              <w:rPr>
                <w:color w:val="000000"/>
                <w:sz w:val="22"/>
                <w:szCs w:val="22"/>
              </w:rPr>
              <w:t>37 520</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color w:val="FF0000"/>
              </w:rPr>
            </w:pPr>
            <w:r w:rsidRPr="00105608">
              <w:rPr>
                <w:color w:val="FF0000"/>
                <w:sz w:val="22"/>
                <w:szCs w:val="22"/>
              </w:rPr>
              <w:t>-36,7%</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r w:rsidRPr="00105608">
              <w:rPr>
                <w:sz w:val="22"/>
                <w:szCs w:val="22"/>
              </w:rPr>
              <w:t>Chiffre d'affaires (millions de FCFA)</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250</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color w:val="000000"/>
              </w:rPr>
            </w:pPr>
            <w:r w:rsidRPr="00105608">
              <w:rPr>
                <w:color w:val="000000"/>
                <w:sz w:val="22"/>
                <w:szCs w:val="22"/>
              </w:rPr>
              <w:t>164</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color w:val="FF0000"/>
              </w:rPr>
            </w:pPr>
            <w:r w:rsidRPr="00105608">
              <w:rPr>
                <w:color w:val="FF0000"/>
                <w:sz w:val="22"/>
                <w:szCs w:val="22"/>
              </w:rPr>
              <w:t>-34,5%</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r w:rsidRPr="00105608">
              <w:rPr>
                <w:sz w:val="22"/>
                <w:szCs w:val="22"/>
              </w:rPr>
              <w:t>Effectif</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20</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color w:val="000000"/>
              </w:rPr>
            </w:pPr>
            <w:r w:rsidRPr="00105608">
              <w:rPr>
                <w:color w:val="000000"/>
                <w:sz w:val="22"/>
                <w:szCs w:val="22"/>
              </w:rPr>
              <w:t>22</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10,0%</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r w:rsidRPr="00105608">
              <w:rPr>
                <w:sz w:val="22"/>
                <w:szCs w:val="22"/>
              </w:rPr>
              <w:t xml:space="preserve">Masse salariale </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59</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color w:val="000000"/>
              </w:rPr>
            </w:pPr>
            <w:r w:rsidRPr="00105608">
              <w:rPr>
                <w:color w:val="000000"/>
                <w:sz w:val="22"/>
                <w:szCs w:val="22"/>
              </w:rPr>
              <w:t>59</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0,0%</w:t>
            </w:r>
          </w:p>
        </w:tc>
      </w:tr>
    </w:tbl>
    <w:p w:rsidR="008F715D" w:rsidRPr="00D149B6" w:rsidRDefault="008F715D" w:rsidP="008F715D">
      <w:pPr>
        <w:autoSpaceDE w:val="0"/>
        <w:autoSpaceDN w:val="0"/>
        <w:adjustRightInd w:val="0"/>
        <w:jc w:val="both"/>
        <w:rPr>
          <w:rFonts w:asciiTheme="majorBidi" w:hAnsiTheme="majorBidi" w:cstheme="majorBidi"/>
          <w:b/>
          <w:bCs/>
          <w:i/>
          <w:iCs/>
          <w:sz w:val="16"/>
          <w:szCs w:val="16"/>
        </w:rPr>
      </w:pPr>
      <w:r w:rsidRPr="00D149B6">
        <w:rPr>
          <w:rFonts w:asciiTheme="majorBidi" w:hAnsiTheme="majorBidi" w:cstheme="majorBidi"/>
          <w:b/>
          <w:bCs/>
          <w:i/>
          <w:iCs/>
          <w:sz w:val="16"/>
          <w:szCs w:val="16"/>
        </w:rPr>
        <w:t>Source: SIAT Gabon Ranch Nyanga</w:t>
      </w:r>
    </w:p>
    <w:p w:rsidR="008F715D" w:rsidRDefault="008F715D" w:rsidP="008F715D">
      <w:pPr>
        <w:jc w:val="both"/>
        <w:rPr>
          <w:rFonts w:asciiTheme="majorBidi" w:hAnsiTheme="majorBidi" w:cstheme="majorBidi"/>
        </w:rPr>
      </w:pPr>
    </w:p>
    <w:p w:rsidR="008F715D" w:rsidRPr="00D149B6" w:rsidRDefault="008F715D" w:rsidP="008F715D">
      <w:pPr>
        <w:pStyle w:val="Titre2"/>
        <w:rPr>
          <w:rFonts w:asciiTheme="majorBidi" w:hAnsiTheme="majorBidi" w:cstheme="majorBidi"/>
          <w:b/>
          <w:bCs/>
          <w:i w:val="0"/>
          <w:color w:val="0000FF"/>
          <w:sz w:val="24"/>
        </w:rPr>
      </w:pPr>
      <w:bookmarkStart w:id="62" w:name="_Toc420027516"/>
      <w:bookmarkStart w:id="63" w:name="_Toc462990815"/>
      <w:r>
        <w:rPr>
          <w:rFonts w:asciiTheme="majorBidi" w:hAnsiTheme="majorBidi" w:cstheme="majorBidi"/>
          <w:b/>
          <w:bCs/>
          <w:i w:val="0"/>
          <w:color w:val="0000FF"/>
          <w:sz w:val="24"/>
        </w:rPr>
        <w:t>II.7</w:t>
      </w:r>
      <w:r w:rsidRPr="00D149B6">
        <w:rPr>
          <w:rFonts w:asciiTheme="majorBidi" w:hAnsiTheme="majorBidi" w:cstheme="majorBidi"/>
          <w:b/>
          <w:bCs/>
          <w:i w:val="0"/>
          <w:color w:val="0000FF"/>
          <w:sz w:val="24"/>
        </w:rPr>
        <w:t>.</w:t>
      </w:r>
      <w:r>
        <w:rPr>
          <w:rFonts w:asciiTheme="majorBidi" w:hAnsiTheme="majorBidi" w:cstheme="majorBidi"/>
          <w:b/>
          <w:bCs/>
          <w:i w:val="0"/>
          <w:color w:val="0000FF"/>
          <w:sz w:val="24"/>
        </w:rPr>
        <w:t xml:space="preserve"> </w:t>
      </w:r>
      <w:r w:rsidRPr="00D149B6">
        <w:rPr>
          <w:rFonts w:asciiTheme="majorBidi" w:hAnsiTheme="majorBidi" w:cstheme="majorBidi"/>
          <w:b/>
          <w:bCs/>
          <w:i w:val="0"/>
          <w:color w:val="0000FF"/>
          <w:sz w:val="24"/>
        </w:rPr>
        <w:t>LES AGRO</w:t>
      </w:r>
      <w:r>
        <w:rPr>
          <w:rFonts w:asciiTheme="majorBidi" w:hAnsiTheme="majorBidi" w:cstheme="majorBidi"/>
          <w:b/>
          <w:bCs/>
          <w:i w:val="0"/>
          <w:color w:val="0000FF"/>
          <w:sz w:val="24"/>
        </w:rPr>
        <w:t>-</w:t>
      </w:r>
      <w:r w:rsidRPr="00D149B6">
        <w:rPr>
          <w:rFonts w:asciiTheme="majorBidi" w:hAnsiTheme="majorBidi" w:cstheme="majorBidi"/>
          <w:b/>
          <w:bCs/>
          <w:i w:val="0"/>
          <w:color w:val="0000FF"/>
          <w:sz w:val="24"/>
        </w:rPr>
        <w:t>INDUSTRIES</w:t>
      </w:r>
      <w:bookmarkEnd w:id="51"/>
      <w:bookmarkEnd w:id="52"/>
      <w:bookmarkEnd w:id="53"/>
      <w:bookmarkEnd w:id="54"/>
      <w:bookmarkEnd w:id="55"/>
      <w:bookmarkEnd w:id="62"/>
      <w:bookmarkEnd w:id="63"/>
    </w:p>
    <w:p w:rsidR="008F715D" w:rsidRPr="001E32E8" w:rsidRDefault="008F715D" w:rsidP="008F715D">
      <w:pPr>
        <w:jc w:val="both"/>
        <w:rPr>
          <w:rFonts w:asciiTheme="majorBidi" w:hAnsiTheme="majorBidi" w:cstheme="majorBidi"/>
        </w:rPr>
      </w:pPr>
      <w:bookmarkStart w:id="64" w:name="_Toc356891309"/>
      <w:bookmarkStart w:id="65" w:name="_Toc389653136"/>
      <w:bookmarkStart w:id="66" w:name="_Toc389653364"/>
      <w:bookmarkStart w:id="67" w:name="_Toc397691607"/>
      <w:bookmarkStart w:id="68" w:name="_Toc63511799"/>
      <w:bookmarkStart w:id="69" w:name="_Toc77665748"/>
      <w:bookmarkStart w:id="70" w:name="_Toc356891314"/>
      <w:bookmarkStart w:id="71" w:name="_Toc389653137"/>
      <w:bookmarkStart w:id="72" w:name="_Toc389653365"/>
      <w:bookmarkStart w:id="73" w:name="_Toc63511808"/>
      <w:bookmarkStart w:id="74" w:name="_Toc77665758"/>
    </w:p>
    <w:p w:rsidR="008F715D" w:rsidRPr="00D149B6" w:rsidRDefault="008F715D" w:rsidP="008F715D">
      <w:pPr>
        <w:pStyle w:val="Titre3"/>
        <w:ind w:firstLine="0"/>
        <w:rPr>
          <w:rFonts w:asciiTheme="majorBidi" w:hAnsiTheme="majorBidi" w:cstheme="majorBidi"/>
          <w:b/>
          <w:bCs/>
          <w:i/>
          <w:iCs/>
          <w:color w:val="0000FF"/>
          <w:sz w:val="24"/>
        </w:rPr>
      </w:pPr>
      <w:bookmarkStart w:id="75" w:name="_Toc462990816"/>
      <w:r w:rsidRPr="00D149B6">
        <w:rPr>
          <w:rFonts w:asciiTheme="majorBidi" w:hAnsiTheme="majorBidi" w:cstheme="majorBidi"/>
          <w:b/>
          <w:bCs/>
          <w:i/>
          <w:iCs/>
          <w:color w:val="0000FF"/>
          <w:sz w:val="24"/>
        </w:rPr>
        <w:t>I</w:t>
      </w:r>
      <w:r>
        <w:rPr>
          <w:rFonts w:asciiTheme="majorBidi" w:hAnsiTheme="majorBidi" w:cstheme="majorBidi"/>
          <w:b/>
          <w:bCs/>
          <w:i/>
          <w:iCs/>
          <w:color w:val="0000FF"/>
          <w:sz w:val="24"/>
        </w:rPr>
        <w:t>I.7</w:t>
      </w:r>
      <w:r w:rsidRPr="00D149B6">
        <w:rPr>
          <w:rFonts w:asciiTheme="majorBidi" w:hAnsiTheme="majorBidi" w:cstheme="majorBidi"/>
          <w:b/>
          <w:bCs/>
          <w:i/>
          <w:iCs/>
          <w:color w:val="0000FF"/>
          <w:sz w:val="24"/>
        </w:rPr>
        <w:t>.1</w:t>
      </w:r>
      <w:r>
        <w:rPr>
          <w:rFonts w:asciiTheme="majorBidi" w:hAnsiTheme="majorBidi" w:cstheme="majorBidi"/>
          <w:b/>
          <w:bCs/>
          <w:i/>
          <w:iCs/>
          <w:color w:val="0000FF"/>
          <w:sz w:val="24"/>
        </w:rPr>
        <w:t>. La minoterie et l’aviculture</w:t>
      </w:r>
      <w:bookmarkEnd w:id="75"/>
    </w:p>
    <w:p w:rsidR="008F715D" w:rsidRPr="00D149B6" w:rsidRDefault="008F715D" w:rsidP="008F715D">
      <w:pPr>
        <w:autoSpaceDE w:val="0"/>
        <w:autoSpaceDN w:val="0"/>
        <w:adjustRightInd w:val="0"/>
        <w:jc w:val="both"/>
        <w:rPr>
          <w:rFonts w:asciiTheme="majorBidi" w:hAnsiTheme="majorBidi" w:cstheme="majorBidi"/>
          <w:bCs/>
          <w:iCs/>
        </w:rPr>
      </w:pPr>
    </w:p>
    <w:p w:rsidR="008F715D" w:rsidRPr="004B14A6" w:rsidRDefault="008F715D" w:rsidP="008F715D">
      <w:pPr>
        <w:contextualSpacing/>
        <w:jc w:val="both"/>
        <w:rPr>
          <w:rFonts w:asciiTheme="majorBidi" w:hAnsiTheme="majorBidi" w:cstheme="majorBidi"/>
        </w:rPr>
      </w:pPr>
      <w:r w:rsidRPr="00EB174D">
        <w:rPr>
          <w:rFonts w:asciiTheme="majorBidi" w:hAnsiTheme="majorBidi" w:cstheme="majorBidi"/>
        </w:rPr>
        <w:t>L’activité meunière et avicole a enregistré des résulta</w:t>
      </w:r>
      <w:r>
        <w:rPr>
          <w:rFonts w:asciiTheme="majorBidi" w:hAnsiTheme="majorBidi" w:cstheme="majorBidi"/>
        </w:rPr>
        <w:t>ts globalement positifs</w:t>
      </w:r>
      <w:r w:rsidRPr="00EB174D">
        <w:rPr>
          <w:rFonts w:asciiTheme="majorBidi" w:hAnsiTheme="majorBidi" w:cstheme="majorBidi"/>
        </w:rPr>
        <w:t xml:space="preserve"> du</w:t>
      </w:r>
      <w:r>
        <w:rPr>
          <w:rFonts w:asciiTheme="majorBidi" w:hAnsiTheme="majorBidi" w:cstheme="majorBidi"/>
        </w:rPr>
        <w:t>rant le</w:t>
      </w:r>
      <w:r w:rsidRPr="00EB174D">
        <w:rPr>
          <w:rFonts w:asciiTheme="majorBidi" w:hAnsiTheme="majorBidi" w:cstheme="majorBidi"/>
        </w:rPr>
        <w:t xml:space="preserve"> premier semestre 2016</w:t>
      </w:r>
      <w:r>
        <w:rPr>
          <w:rFonts w:asciiTheme="majorBidi" w:hAnsiTheme="majorBidi" w:cstheme="majorBidi"/>
        </w:rPr>
        <w:t>. Ainsi, la</w:t>
      </w:r>
      <w:r w:rsidRPr="00EB174D">
        <w:rPr>
          <w:rFonts w:asciiTheme="majorBidi" w:hAnsiTheme="majorBidi" w:cstheme="majorBidi"/>
        </w:rPr>
        <w:t xml:space="preserve"> production de farine </w:t>
      </w:r>
      <w:r>
        <w:rPr>
          <w:rFonts w:asciiTheme="majorBidi" w:hAnsiTheme="majorBidi" w:cstheme="majorBidi"/>
        </w:rPr>
        <w:t xml:space="preserve">a légèrement progressé de 0,4% pour se situer </w:t>
      </w:r>
      <w:r w:rsidRPr="00EB174D">
        <w:rPr>
          <w:rFonts w:asciiTheme="majorBidi" w:hAnsiTheme="majorBidi" w:cstheme="majorBidi"/>
        </w:rPr>
        <w:t>à 34 998 tonnes</w:t>
      </w:r>
      <w:r>
        <w:rPr>
          <w:rFonts w:asciiTheme="majorBidi" w:hAnsiTheme="majorBidi" w:cstheme="majorBidi"/>
        </w:rPr>
        <w:t xml:space="preserve">. De même, la production </w:t>
      </w:r>
      <w:r w:rsidRPr="00EB174D">
        <w:rPr>
          <w:rFonts w:asciiTheme="majorBidi" w:hAnsiTheme="majorBidi" w:cstheme="majorBidi"/>
        </w:rPr>
        <w:t>d</w:t>
      </w:r>
      <w:r>
        <w:rPr>
          <w:rFonts w:asciiTheme="majorBidi" w:hAnsiTheme="majorBidi" w:cstheme="majorBidi"/>
        </w:rPr>
        <w:t xml:space="preserve">es </w:t>
      </w:r>
      <w:r w:rsidRPr="00EB174D">
        <w:rPr>
          <w:rFonts w:asciiTheme="majorBidi" w:hAnsiTheme="majorBidi" w:cstheme="majorBidi"/>
        </w:rPr>
        <w:t xml:space="preserve">aliments pour bétail </w:t>
      </w:r>
      <w:r>
        <w:rPr>
          <w:rFonts w:asciiTheme="majorBidi" w:hAnsiTheme="majorBidi" w:cstheme="majorBidi"/>
        </w:rPr>
        <w:t xml:space="preserve">a connu une hausse de </w:t>
      </w:r>
      <w:r w:rsidRPr="004B14A6">
        <w:rPr>
          <w:rFonts w:asciiTheme="majorBidi" w:hAnsiTheme="majorBidi" w:cstheme="majorBidi"/>
        </w:rPr>
        <w:t xml:space="preserve">10,6%, soit 14 788 tonnes, en raison de la fermeté de la  demande des éleveurs indépendants. Parallèlement, la production des œufs s’est élevée à 22,1 millions d’unités, en hausse de 2% par rapport à fin juin 2015. </w:t>
      </w:r>
    </w:p>
    <w:p w:rsidR="008F715D" w:rsidRPr="004B14A6" w:rsidRDefault="008F715D" w:rsidP="008F715D">
      <w:pPr>
        <w:contextualSpacing/>
        <w:jc w:val="both"/>
        <w:rPr>
          <w:rFonts w:asciiTheme="majorBidi" w:hAnsiTheme="majorBidi" w:cstheme="majorBidi"/>
        </w:rPr>
      </w:pPr>
    </w:p>
    <w:p w:rsidR="008F715D" w:rsidRDefault="008F715D" w:rsidP="008F715D">
      <w:pPr>
        <w:contextualSpacing/>
        <w:jc w:val="both"/>
        <w:rPr>
          <w:rFonts w:asciiTheme="majorBidi" w:hAnsiTheme="majorBidi" w:cstheme="majorBidi"/>
        </w:rPr>
      </w:pPr>
      <w:r w:rsidRPr="004B14A6">
        <w:rPr>
          <w:rFonts w:asciiTheme="majorBidi" w:hAnsiTheme="majorBidi" w:cstheme="majorBidi"/>
        </w:rPr>
        <w:lastRenderedPageBreak/>
        <w:t>Compte tenu de ces performances agroindustrielles, le chiffre d’affaires s’est amélioré de 3,3%, pour un montant de 16,9 milliards de FCFA.</w:t>
      </w:r>
      <w:r w:rsidRPr="00EB174D">
        <w:rPr>
          <w:rFonts w:asciiTheme="majorBidi" w:hAnsiTheme="majorBidi" w:cstheme="majorBidi"/>
        </w:rPr>
        <w:t xml:space="preserve"> </w:t>
      </w:r>
    </w:p>
    <w:p w:rsidR="008F715D" w:rsidRDefault="008F715D" w:rsidP="008F715D">
      <w:pPr>
        <w:autoSpaceDE w:val="0"/>
        <w:autoSpaceDN w:val="0"/>
        <w:adjustRightInd w:val="0"/>
        <w:jc w:val="both"/>
        <w:rPr>
          <w:rFonts w:asciiTheme="majorBidi" w:hAnsiTheme="majorBidi" w:cstheme="majorBidi"/>
          <w:b/>
          <w:i/>
        </w:rPr>
      </w:pPr>
      <w:r w:rsidRPr="00CB1F5B">
        <w:rPr>
          <w:rFonts w:asciiTheme="majorBidi" w:hAnsiTheme="majorBidi" w:cstheme="majorBidi"/>
          <w:b/>
          <w:i/>
        </w:rPr>
        <w:t>Evolution de l’activité meunière et avicole</w:t>
      </w:r>
    </w:p>
    <w:tbl>
      <w:tblPr>
        <w:tblW w:w="8804" w:type="dxa"/>
        <w:tblInd w:w="55" w:type="dxa"/>
        <w:tblLayout w:type="fixed"/>
        <w:tblCellMar>
          <w:left w:w="70" w:type="dxa"/>
          <w:right w:w="70" w:type="dxa"/>
        </w:tblCellMar>
        <w:tblLook w:val="04A0"/>
      </w:tblPr>
      <w:tblGrid>
        <w:gridCol w:w="4840"/>
        <w:gridCol w:w="1321"/>
        <w:gridCol w:w="1321"/>
        <w:gridCol w:w="1322"/>
      </w:tblGrid>
      <w:tr w:rsidR="008F715D" w:rsidRPr="00EB174D"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 </w:t>
            </w:r>
          </w:p>
        </w:tc>
        <w:tc>
          <w:tcPr>
            <w:tcW w:w="3964"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rPr>
                <w:color w:val="000000"/>
              </w:rPr>
            </w:pPr>
            <w:r w:rsidRPr="00EB174D">
              <w:rPr>
                <w:color w:val="000000"/>
                <w:sz w:val="22"/>
                <w:szCs w:val="22"/>
              </w:rPr>
              <w:t>Premier semestre</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 </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rPr>
                <w:color w:val="000000"/>
              </w:rPr>
            </w:pPr>
            <w:r w:rsidRPr="00EB174D">
              <w:rPr>
                <w:color w:val="000000"/>
                <w:sz w:val="22"/>
                <w:szCs w:val="22"/>
              </w:rPr>
              <w:t>2015</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rPr>
                <w:color w:val="000000"/>
              </w:rPr>
            </w:pPr>
            <w:r w:rsidRPr="00EB174D">
              <w:rPr>
                <w:color w:val="000000"/>
                <w:sz w:val="22"/>
                <w:szCs w:val="22"/>
              </w:rPr>
              <w:t>2016</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Var 16/15</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jc w:val="both"/>
            </w:pPr>
            <w:r w:rsidRPr="00EB174D">
              <w:rPr>
                <w:sz w:val="22"/>
                <w:szCs w:val="22"/>
              </w:rPr>
              <w:t>Productions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 </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 </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r w:rsidRPr="00EB174D">
              <w:rPr>
                <w:sz w:val="22"/>
                <w:szCs w:val="22"/>
              </w:rPr>
              <w:t> </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 xml:space="preserve">    Farine (en tonnes)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34 849</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34 998</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0,4%</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 xml:space="preserve">    Issues (en tonnes)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9 628</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9 977</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3,6%</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 xml:space="preserve">    Aliments pour bétail (en tonnes)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13 367</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14 788</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10,6%</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 xml:space="preserve">    Œufs (en milliers d’unités)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21 625</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22 067</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2,0%</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Chiffre d’a</w:t>
            </w:r>
            <w:r>
              <w:rPr>
                <w:color w:val="000000"/>
                <w:sz w:val="22"/>
                <w:szCs w:val="22"/>
              </w:rPr>
              <w:t>ffaires (millions de FCFA)</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16 307</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16 853</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3,3%</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Effectifs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216</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216</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0,0%</w:t>
            </w:r>
          </w:p>
        </w:tc>
      </w:tr>
      <w:tr w:rsidR="008F715D" w:rsidRPr="00EB174D"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B174D" w:rsidRDefault="008F715D" w:rsidP="002105A0">
            <w:pPr>
              <w:rPr>
                <w:color w:val="000000"/>
              </w:rPr>
            </w:pPr>
            <w:r w:rsidRPr="00EB174D">
              <w:rPr>
                <w:color w:val="000000"/>
                <w:sz w:val="22"/>
                <w:szCs w:val="22"/>
              </w:rPr>
              <w:t>Masse salariale</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1 490</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pPr>
            <w:r w:rsidRPr="00EB174D">
              <w:rPr>
                <w:sz w:val="22"/>
                <w:szCs w:val="22"/>
              </w:rPr>
              <w:t>1 350</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B174D" w:rsidRDefault="008F715D" w:rsidP="002105A0">
            <w:pPr>
              <w:jc w:val="center"/>
              <w:rPr>
                <w:color w:val="FF0000"/>
              </w:rPr>
            </w:pPr>
            <w:r w:rsidRPr="00EB174D">
              <w:rPr>
                <w:color w:val="FF0000"/>
                <w:sz w:val="22"/>
                <w:szCs w:val="22"/>
              </w:rPr>
              <w:t>-9,4%</w:t>
            </w:r>
          </w:p>
        </w:tc>
      </w:tr>
    </w:tbl>
    <w:p w:rsidR="008F715D" w:rsidRPr="00D727A0" w:rsidRDefault="008F715D" w:rsidP="008F715D">
      <w:pPr>
        <w:autoSpaceDE w:val="0"/>
        <w:autoSpaceDN w:val="0"/>
        <w:adjustRightInd w:val="0"/>
        <w:jc w:val="both"/>
        <w:rPr>
          <w:rFonts w:asciiTheme="majorBidi" w:hAnsiTheme="majorBidi" w:cstheme="majorBidi"/>
          <w:bCs/>
          <w:iCs/>
          <w:sz w:val="20"/>
          <w:szCs w:val="20"/>
        </w:rPr>
      </w:pPr>
      <w:r w:rsidRPr="00D727A0">
        <w:rPr>
          <w:rFonts w:asciiTheme="majorBidi" w:hAnsiTheme="majorBidi" w:cstheme="majorBidi"/>
          <w:bCs/>
          <w:iCs/>
          <w:sz w:val="20"/>
          <w:szCs w:val="20"/>
        </w:rPr>
        <w:t>Source : Smag</w:t>
      </w:r>
    </w:p>
    <w:p w:rsidR="008F715D" w:rsidRPr="002D0727" w:rsidRDefault="008F715D" w:rsidP="008F715D">
      <w:pPr>
        <w:autoSpaceDE w:val="0"/>
        <w:autoSpaceDN w:val="0"/>
        <w:adjustRightInd w:val="0"/>
        <w:jc w:val="both"/>
        <w:rPr>
          <w:rFonts w:asciiTheme="majorBidi" w:hAnsiTheme="majorBidi" w:cstheme="majorBidi"/>
          <w:bCs/>
          <w:iCs/>
        </w:rPr>
      </w:pPr>
    </w:p>
    <w:p w:rsidR="008F715D" w:rsidRPr="002D0727" w:rsidRDefault="008F715D" w:rsidP="008F715D">
      <w:pPr>
        <w:pStyle w:val="Titre3"/>
        <w:ind w:firstLine="0"/>
        <w:rPr>
          <w:rFonts w:asciiTheme="majorBidi" w:hAnsiTheme="majorBidi" w:cstheme="majorBidi"/>
          <w:b/>
          <w:bCs/>
          <w:i/>
          <w:iCs/>
          <w:color w:val="0000FF"/>
          <w:sz w:val="24"/>
        </w:rPr>
      </w:pPr>
      <w:bookmarkStart w:id="76" w:name="_Toc420027517"/>
      <w:bookmarkStart w:id="77" w:name="_Toc462990817"/>
      <w:r>
        <w:rPr>
          <w:rFonts w:asciiTheme="majorBidi" w:hAnsiTheme="majorBidi" w:cstheme="majorBidi"/>
          <w:b/>
          <w:bCs/>
          <w:i/>
          <w:iCs/>
          <w:color w:val="0000FF"/>
          <w:sz w:val="24"/>
        </w:rPr>
        <w:t>II.7</w:t>
      </w:r>
      <w:r w:rsidRPr="002D0727">
        <w:rPr>
          <w:rFonts w:asciiTheme="majorBidi" w:hAnsiTheme="majorBidi" w:cstheme="majorBidi"/>
          <w:b/>
          <w:bCs/>
          <w:i/>
          <w:iCs/>
          <w:color w:val="0000FF"/>
          <w:sz w:val="24"/>
        </w:rPr>
        <w:t>.2</w:t>
      </w:r>
      <w:r>
        <w:rPr>
          <w:rFonts w:asciiTheme="majorBidi" w:hAnsiTheme="majorBidi" w:cstheme="majorBidi"/>
          <w:b/>
          <w:bCs/>
          <w:i/>
          <w:iCs/>
          <w:color w:val="0000FF"/>
          <w:sz w:val="24"/>
        </w:rPr>
        <w:t>.</w:t>
      </w:r>
      <w:r w:rsidRPr="002D0727">
        <w:rPr>
          <w:rFonts w:asciiTheme="majorBidi" w:hAnsiTheme="majorBidi" w:cstheme="majorBidi"/>
          <w:b/>
          <w:bCs/>
          <w:i/>
          <w:iCs/>
          <w:color w:val="0000FF"/>
          <w:sz w:val="24"/>
        </w:rPr>
        <w:t xml:space="preserve"> Les huiles et corps gras</w:t>
      </w:r>
      <w:bookmarkEnd w:id="64"/>
      <w:bookmarkEnd w:id="65"/>
      <w:bookmarkEnd w:id="66"/>
      <w:bookmarkEnd w:id="67"/>
      <w:bookmarkEnd w:id="76"/>
      <w:bookmarkEnd w:id="77"/>
    </w:p>
    <w:p w:rsidR="008F715D" w:rsidRPr="002D0727" w:rsidRDefault="008F715D" w:rsidP="008F715D">
      <w:pPr>
        <w:autoSpaceDE w:val="0"/>
        <w:autoSpaceDN w:val="0"/>
        <w:adjustRightInd w:val="0"/>
        <w:jc w:val="both"/>
        <w:rPr>
          <w:rFonts w:asciiTheme="majorBidi" w:hAnsiTheme="majorBidi" w:cstheme="majorBidi"/>
          <w:bCs/>
          <w:iCs/>
        </w:rPr>
      </w:pPr>
    </w:p>
    <w:p w:rsidR="008F715D" w:rsidRPr="00025DF7" w:rsidRDefault="008F715D" w:rsidP="008F715D">
      <w:pPr>
        <w:jc w:val="both"/>
        <w:rPr>
          <w:rFonts w:asciiTheme="majorBidi" w:hAnsiTheme="majorBidi" w:cstheme="majorBidi"/>
          <w:bCs/>
          <w:iCs/>
          <w:color w:val="000000"/>
        </w:rPr>
      </w:pPr>
      <w:r w:rsidRPr="00025DF7">
        <w:rPr>
          <w:rFonts w:asciiTheme="majorBidi" w:hAnsiTheme="majorBidi" w:cstheme="majorBidi"/>
          <w:bCs/>
          <w:iCs/>
          <w:color w:val="000000"/>
        </w:rPr>
        <w:t xml:space="preserve">Au terme des six premiers mois de 2016, l’activité de fabrication des huiles et corps gras a poursuivi ses contre-performances industrielles et commerciales. </w:t>
      </w:r>
      <w:r>
        <w:rPr>
          <w:rFonts w:asciiTheme="majorBidi" w:hAnsiTheme="majorBidi" w:cstheme="majorBidi"/>
          <w:bCs/>
          <w:iCs/>
          <w:color w:val="000000"/>
        </w:rPr>
        <w:t>En effet, l</w:t>
      </w:r>
      <w:r w:rsidRPr="00025DF7">
        <w:rPr>
          <w:rFonts w:asciiTheme="majorBidi" w:hAnsiTheme="majorBidi" w:cstheme="majorBidi"/>
          <w:bCs/>
          <w:iCs/>
          <w:color w:val="000000"/>
        </w:rPr>
        <w:t xml:space="preserve">a production de l’huile </w:t>
      </w:r>
      <w:r>
        <w:rPr>
          <w:rFonts w:asciiTheme="majorBidi" w:hAnsiTheme="majorBidi" w:cstheme="majorBidi"/>
          <w:bCs/>
          <w:iCs/>
          <w:color w:val="000000"/>
        </w:rPr>
        <w:t xml:space="preserve">de palme </w:t>
      </w:r>
      <w:r w:rsidRPr="00025DF7">
        <w:rPr>
          <w:rFonts w:asciiTheme="majorBidi" w:hAnsiTheme="majorBidi" w:cstheme="majorBidi"/>
          <w:bCs/>
          <w:iCs/>
          <w:color w:val="000000"/>
        </w:rPr>
        <w:t>brute s</w:t>
      </w:r>
      <w:r>
        <w:rPr>
          <w:rFonts w:asciiTheme="majorBidi" w:hAnsiTheme="majorBidi" w:cstheme="majorBidi"/>
          <w:bCs/>
          <w:iCs/>
          <w:color w:val="000000"/>
        </w:rPr>
        <w:t>’</w:t>
      </w:r>
      <w:r w:rsidRPr="00025DF7">
        <w:rPr>
          <w:rFonts w:asciiTheme="majorBidi" w:hAnsiTheme="majorBidi" w:cstheme="majorBidi"/>
          <w:bCs/>
          <w:iCs/>
          <w:color w:val="000000"/>
        </w:rPr>
        <w:t>es</w:t>
      </w:r>
      <w:r>
        <w:rPr>
          <w:rFonts w:asciiTheme="majorBidi" w:hAnsiTheme="majorBidi" w:cstheme="majorBidi"/>
          <w:bCs/>
          <w:iCs/>
          <w:color w:val="000000"/>
        </w:rPr>
        <w:t>t</w:t>
      </w:r>
      <w:r w:rsidRPr="00025DF7">
        <w:rPr>
          <w:rFonts w:asciiTheme="majorBidi" w:hAnsiTheme="majorBidi" w:cstheme="majorBidi"/>
          <w:bCs/>
          <w:iCs/>
          <w:color w:val="000000"/>
        </w:rPr>
        <w:t xml:space="preserve"> situ</w:t>
      </w:r>
      <w:r>
        <w:rPr>
          <w:rFonts w:asciiTheme="majorBidi" w:hAnsiTheme="majorBidi" w:cstheme="majorBidi"/>
          <w:bCs/>
          <w:iCs/>
          <w:color w:val="000000"/>
        </w:rPr>
        <w:t>é</w:t>
      </w:r>
      <w:r w:rsidRPr="00025DF7">
        <w:rPr>
          <w:rFonts w:asciiTheme="majorBidi" w:hAnsiTheme="majorBidi" w:cstheme="majorBidi"/>
          <w:bCs/>
          <w:iCs/>
          <w:color w:val="000000"/>
        </w:rPr>
        <w:t xml:space="preserve">e à 2 927 tonnes </w:t>
      </w:r>
      <w:r>
        <w:rPr>
          <w:rFonts w:asciiTheme="majorBidi" w:hAnsiTheme="majorBidi" w:cstheme="majorBidi"/>
          <w:bCs/>
          <w:iCs/>
          <w:color w:val="000000"/>
        </w:rPr>
        <w:t>à fin juin 2016, soit une</w:t>
      </w:r>
      <w:r w:rsidRPr="00025DF7">
        <w:rPr>
          <w:rFonts w:asciiTheme="majorBidi" w:hAnsiTheme="majorBidi" w:cstheme="majorBidi"/>
          <w:bCs/>
          <w:iCs/>
          <w:color w:val="000000"/>
        </w:rPr>
        <w:t xml:space="preserve"> </w:t>
      </w:r>
      <w:r>
        <w:rPr>
          <w:rFonts w:asciiTheme="majorBidi" w:hAnsiTheme="majorBidi" w:cstheme="majorBidi"/>
          <w:bCs/>
          <w:iCs/>
          <w:color w:val="000000"/>
        </w:rPr>
        <w:t>chute</w:t>
      </w:r>
      <w:r w:rsidRPr="00025DF7">
        <w:rPr>
          <w:rFonts w:asciiTheme="majorBidi" w:hAnsiTheme="majorBidi" w:cstheme="majorBidi"/>
          <w:bCs/>
          <w:iCs/>
          <w:color w:val="000000"/>
        </w:rPr>
        <w:t xml:space="preserve"> de 36%</w:t>
      </w:r>
      <w:r>
        <w:rPr>
          <w:rFonts w:asciiTheme="majorBidi" w:hAnsiTheme="majorBidi" w:cstheme="majorBidi"/>
          <w:bCs/>
          <w:iCs/>
          <w:color w:val="000000"/>
        </w:rPr>
        <w:t xml:space="preserve"> en raison de la vieillesse des plantations. De même,</w:t>
      </w:r>
      <w:r w:rsidRPr="00025DF7">
        <w:rPr>
          <w:rFonts w:asciiTheme="majorBidi" w:hAnsiTheme="majorBidi" w:cstheme="majorBidi"/>
          <w:bCs/>
          <w:iCs/>
          <w:color w:val="000000"/>
        </w:rPr>
        <w:t xml:space="preserve"> l’oléine (huile raffinée) et </w:t>
      </w:r>
      <w:r>
        <w:rPr>
          <w:rFonts w:asciiTheme="majorBidi" w:hAnsiTheme="majorBidi" w:cstheme="majorBidi"/>
          <w:bCs/>
          <w:iCs/>
          <w:color w:val="000000"/>
        </w:rPr>
        <w:t>les</w:t>
      </w:r>
      <w:r w:rsidRPr="00025DF7">
        <w:rPr>
          <w:rFonts w:asciiTheme="majorBidi" w:hAnsiTheme="majorBidi" w:cstheme="majorBidi"/>
          <w:bCs/>
          <w:iCs/>
          <w:color w:val="000000"/>
        </w:rPr>
        <w:t xml:space="preserve"> savons ont </w:t>
      </w:r>
      <w:r>
        <w:rPr>
          <w:rFonts w:asciiTheme="majorBidi" w:hAnsiTheme="majorBidi" w:cstheme="majorBidi"/>
          <w:bCs/>
          <w:iCs/>
          <w:color w:val="000000"/>
        </w:rPr>
        <w:t>baissé</w:t>
      </w:r>
      <w:r w:rsidRPr="00025DF7">
        <w:rPr>
          <w:rFonts w:asciiTheme="majorBidi" w:hAnsiTheme="majorBidi" w:cstheme="majorBidi"/>
          <w:bCs/>
          <w:iCs/>
          <w:color w:val="000000"/>
        </w:rPr>
        <w:t xml:space="preserve"> respectivement de 30,3% et 66,8%</w:t>
      </w:r>
      <w:r>
        <w:rPr>
          <w:rFonts w:asciiTheme="majorBidi" w:hAnsiTheme="majorBidi" w:cstheme="majorBidi"/>
          <w:bCs/>
          <w:iCs/>
          <w:color w:val="000000"/>
        </w:rPr>
        <w:t>, sous l’effet des faibles quantités de l’huile brute à raffiner</w:t>
      </w:r>
      <w:r w:rsidRPr="00025DF7">
        <w:rPr>
          <w:rFonts w:asciiTheme="majorBidi" w:hAnsiTheme="majorBidi" w:cstheme="majorBidi"/>
          <w:bCs/>
          <w:iCs/>
          <w:color w:val="000000"/>
        </w:rPr>
        <w:t xml:space="preserve">. Confrontées à la concurrence des importations, les </w:t>
      </w:r>
      <w:r>
        <w:rPr>
          <w:rFonts w:asciiTheme="majorBidi" w:hAnsiTheme="majorBidi" w:cstheme="majorBidi"/>
          <w:bCs/>
          <w:iCs/>
          <w:color w:val="000000"/>
        </w:rPr>
        <w:t>volumes vendus</w:t>
      </w:r>
      <w:r w:rsidRPr="00025DF7">
        <w:rPr>
          <w:rFonts w:asciiTheme="majorBidi" w:hAnsiTheme="majorBidi" w:cstheme="majorBidi"/>
          <w:bCs/>
          <w:iCs/>
          <w:color w:val="000000"/>
        </w:rPr>
        <w:t xml:space="preserve"> d’</w:t>
      </w:r>
      <w:r>
        <w:rPr>
          <w:rFonts w:asciiTheme="majorBidi" w:hAnsiTheme="majorBidi" w:cstheme="majorBidi"/>
          <w:bCs/>
          <w:iCs/>
          <w:color w:val="000000"/>
        </w:rPr>
        <w:t xml:space="preserve">oléine </w:t>
      </w:r>
      <w:r w:rsidRPr="00025DF7">
        <w:rPr>
          <w:rFonts w:asciiTheme="majorBidi" w:hAnsiTheme="majorBidi" w:cstheme="majorBidi"/>
          <w:bCs/>
          <w:iCs/>
          <w:color w:val="000000"/>
        </w:rPr>
        <w:t xml:space="preserve">et de </w:t>
      </w:r>
      <w:r w:rsidRPr="004B14A6">
        <w:rPr>
          <w:rFonts w:asciiTheme="majorBidi" w:hAnsiTheme="majorBidi" w:cstheme="majorBidi"/>
          <w:bCs/>
          <w:iCs/>
          <w:color w:val="000000"/>
        </w:rPr>
        <w:t xml:space="preserve">savons se sont contractés sur le marché local, entrainant un effondrement de 48,7% du chiffre d’affaires, passant à 1,9 milliard de FCFA à fin </w:t>
      </w:r>
      <w:r>
        <w:rPr>
          <w:rFonts w:asciiTheme="majorBidi" w:hAnsiTheme="majorBidi" w:cstheme="majorBidi"/>
          <w:bCs/>
          <w:iCs/>
          <w:color w:val="000000"/>
        </w:rPr>
        <w:t>juin</w:t>
      </w:r>
      <w:r w:rsidRPr="004B14A6">
        <w:rPr>
          <w:rFonts w:asciiTheme="majorBidi" w:hAnsiTheme="majorBidi" w:cstheme="majorBidi"/>
          <w:bCs/>
          <w:iCs/>
          <w:color w:val="000000"/>
        </w:rPr>
        <w:t xml:space="preserve"> 2016.</w:t>
      </w:r>
    </w:p>
    <w:p w:rsidR="008F715D" w:rsidRPr="00293A4C" w:rsidRDefault="008F715D" w:rsidP="008F715D">
      <w:pPr>
        <w:autoSpaceDE w:val="0"/>
        <w:autoSpaceDN w:val="0"/>
        <w:adjustRightInd w:val="0"/>
        <w:jc w:val="both"/>
        <w:rPr>
          <w:rFonts w:asciiTheme="majorBidi" w:hAnsiTheme="majorBidi" w:cstheme="majorBidi"/>
        </w:rPr>
      </w:pPr>
    </w:p>
    <w:p w:rsidR="008F715D" w:rsidRDefault="008F715D" w:rsidP="008F715D">
      <w:pPr>
        <w:autoSpaceDE w:val="0"/>
        <w:autoSpaceDN w:val="0"/>
        <w:adjustRightInd w:val="0"/>
        <w:jc w:val="both"/>
        <w:rPr>
          <w:rFonts w:asciiTheme="majorBidi" w:hAnsiTheme="majorBidi" w:cstheme="majorBidi"/>
          <w:b/>
          <w:i/>
        </w:rPr>
      </w:pPr>
      <w:r w:rsidRPr="00CB1F5B">
        <w:rPr>
          <w:rFonts w:asciiTheme="majorBidi" w:hAnsiTheme="majorBidi" w:cstheme="majorBidi"/>
          <w:b/>
          <w:i/>
        </w:rPr>
        <w:t>Evolution de l’activité des huiles et corps gras</w:t>
      </w:r>
    </w:p>
    <w:tbl>
      <w:tblPr>
        <w:tblW w:w="8946" w:type="dxa"/>
        <w:tblInd w:w="55" w:type="dxa"/>
        <w:tblLayout w:type="fixed"/>
        <w:tblCellMar>
          <w:left w:w="70" w:type="dxa"/>
          <w:right w:w="70" w:type="dxa"/>
        </w:tblCellMar>
        <w:tblLook w:val="04A0"/>
      </w:tblPr>
      <w:tblGrid>
        <w:gridCol w:w="4840"/>
        <w:gridCol w:w="1368"/>
        <w:gridCol w:w="1369"/>
        <w:gridCol w:w="1369"/>
      </w:tblGrid>
      <w:tr w:rsidR="008F715D" w:rsidRPr="00293A4C"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293A4C" w:rsidRDefault="008F715D" w:rsidP="002105A0">
            <w:pPr>
              <w:rPr>
                <w:color w:val="000000"/>
              </w:rPr>
            </w:pPr>
          </w:p>
        </w:tc>
        <w:tc>
          <w:tcPr>
            <w:tcW w:w="4106"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rPr>
                <w:color w:val="000000"/>
              </w:rPr>
            </w:pPr>
            <w:r w:rsidRPr="00293A4C">
              <w:rPr>
                <w:color w:val="000000"/>
                <w:sz w:val="22"/>
                <w:szCs w:val="22"/>
              </w:rPr>
              <w:t>Premier semestre</w:t>
            </w:r>
          </w:p>
        </w:tc>
      </w:tr>
      <w:tr w:rsidR="008F715D" w:rsidRPr="00293A4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293A4C" w:rsidRDefault="008F715D" w:rsidP="002105A0">
            <w:pPr>
              <w:rPr>
                <w:color w:val="000000"/>
              </w:rPr>
            </w:pPr>
            <w:r w:rsidRPr="00293A4C">
              <w:rPr>
                <w:color w:val="000000"/>
                <w:sz w:val="22"/>
                <w:szCs w:val="22"/>
              </w:rPr>
              <w:t>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rPr>
                <w:color w:val="000000"/>
              </w:rPr>
            </w:pPr>
            <w:r w:rsidRPr="00293A4C">
              <w:rPr>
                <w:color w:val="000000"/>
                <w:sz w:val="22"/>
                <w:szCs w:val="22"/>
              </w:rPr>
              <w:t>2015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rPr>
                <w:color w:val="000000"/>
              </w:rPr>
            </w:pPr>
            <w:r w:rsidRPr="00293A4C">
              <w:rPr>
                <w:color w:val="000000"/>
                <w:sz w:val="22"/>
                <w:szCs w:val="22"/>
              </w:rPr>
              <w:t>2016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Var 16/15</w:t>
            </w:r>
          </w:p>
        </w:tc>
      </w:tr>
      <w:tr w:rsidR="008F715D" w:rsidRPr="00293A4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293A4C" w:rsidRDefault="008F715D" w:rsidP="002105A0">
            <w:pPr>
              <w:rPr>
                <w:color w:val="000000"/>
              </w:rPr>
            </w:pPr>
            <w:r w:rsidRPr="00293A4C">
              <w:rPr>
                <w:color w:val="000000"/>
                <w:sz w:val="22"/>
                <w:szCs w:val="22"/>
              </w:rPr>
              <w:t>Productions (en tonnes)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 </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 </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 </w:t>
            </w:r>
          </w:p>
        </w:tc>
      </w:tr>
      <w:tr w:rsidR="008F715D" w:rsidRPr="00293A4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293A4C" w:rsidRDefault="008F715D" w:rsidP="002105A0">
            <w:pPr>
              <w:rPr>
                <w:color w:val="000000"/>
              </w:rPr>
            </w:pPr>
            <w:r w:rsidRPr="00293A4C">
              <w:rPr>
                <w:color w:val="000000"/>
                <w:sz w:val="22"/>
                <w:szCs w:val="22"/>
              </w:rPr>
              <w:t xml:space="preserve">   Huile rouge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4 576,1</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2 927,3</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rPr>
                <w:color w:val="FF0000"/>
              </w:rPr>
            </w:pPr>
            <w:r w:rsidRPr="00293A4C">
              <w:rPr>
                <w:color w:val="FF0000"/>
                <w:sz w:val="22"/>
                <w:szCs w:val="22"/>
              </w:rPr>
              <w:t>-36,0%</w:t>
            </w:r>
          </w:p>
        </w:tc>
      </w:tr>
      <w:tr w:rsidR="008F715D" w:rsidRPr="00293A4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293A4C" w:rsidRDefault="008F715D" w:rsidP="002105A0">
            <w:pPr>
              <w:rPr>
                <w:color w:val="000000"/>
              </w:rPr>
            </w:pPr>
            <w:r w:rsidRPr="00293A4C">
              <w:rPr>
                <w:color w:val="000000"/>
                <w:sz w:val="22"/>
                <w:szCs w:val="22"/>
              </w:rPr>
              <w:t xml:space="preserve">   Huile raffinée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2 845,5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1 982,0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rPr>
                <w:color w:val="FF0000"/>
              </w:rPr>
            </w:pPr>
            <w:r w:rsidRPr="00293A4C">
              <w:rPr>
                <w:color w:val="FF0000"/>
                <w:sz w:val="22"/>
                <w:szCs w:val="22"/>
              </w:rPr>
              <w:t>-30,3%</w:t>
            </w:r>
          </w:p>
        </w:tc>
      </w:tr>
      <w:tr w:rsidR="008F715D" w:rsidRPr="00293A4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293A4C" w:rsidRDefault="008F715D" w:rsidP="002105A0">
            <w:pPr>
              <w:rPr>
                <w:color w:val="000000"/>
              </w:rPr>
            </w:pPr>
            <w:r w:rsidRPr="00293A4C">
              <w:rPr>
                <w:color w:val="000000"/>
                <w:sz w:val="22"/>
                <w:szCs w:val="22"/>
              </w:rPr>
              <w:t xml:space="preserve">   Savons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912,1</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303,5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rPr>
                <w:color w:val="FF0000"/>
              </w:rPr>
            </w:pPr>
            <w:r w:rsidRPr="00293A4C">
              <w:rPr>
                <w:color w:val="FF0000"/>
                <w:sz w:val="22"/>
                <w:szCs w:val="22"/>
              </w:rPr>
              <w:t>-66,7%</w:t>
            </w:r>
          </w:p>
        </w:tc>
      </w:tr>
      <w:tr w:rsidR="008F715D" w:rsidRPr="00293A4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293A4C" w:rsidRDefault="008F715D" w:rsidP="002105A0">
            <w:pPr>
              <w:rPr>
                <w:color w:val="000000"/>
              </w:rPr>
            </w:pPr>
            <w:r w:rsidRPr="00293A4C">
              <w:rPr>
                <w:color w:val="000000"/>
                <w:sz w:val="22"/>
                <w:szCs w:val="22"/>
              </w:rPr>
              <w:t>Ventes (en tonnes)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3 583,9</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2 011,7</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rPr>
                <w:color w:val="FF0000"/>
              </w:rPr>
            </w:pPr>
            <w:r w:rsidRPr="00293A4C">
              <w:rPr>
                <w:color w:val="FF0000"/>
                <w:sz w:val="22"/>
                <w:szCs w:val="22"/>
              </w:rPr>
              <w:t>-43,9%</w:t>
            </w:r>
          </w:p>
        </w:tc>
      </w:tr>
      <w:tr w:rsidR="008F715D" w:rsidRPr="00293A4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293A4C" w:rsidRDefault="008F715D" w:rsidP="002105A0">
            <w:pPr>
              <w:rPr>
                <w:color w:val="000000"/>
              </w:rPr>
            </w:pPr>
            <w:r w:rsidRPr="00293A4C">
              <w:rPr>
                <w:color w:val="000000"/>
                <w:sz w:val="22"/>
                <w:szCs w:val="22"/>
              </w:rPr>
              <w:t xml:space="preserve">   Huile raffinée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2 444,4</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1 603,7</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rPr>
                <w:color w:val="FF0000"/>
              </w:rPr>
            </w:pPr>
            <w:r w:rsidRPr="00293A4C">
              <w:rPr>
                <w:color w:val="FF0000"/>
                <w:sz w:val="22"/>
                <w:szCs w:val="22"/>
              </w:rPr>
              <w:t>-34,4%</w:t>
            </w:r>
          </w:p>
        </w:tc>
      </w:tr>
      <w:tr w:rsidR="008F715D" w:rsidRPr="00293A4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293A4C" w:rsidRDefault="008F715D" w:rsidP="002105A0">
            <w:pPr>
              <w:rPr>
                <w:color w:val="000000"/>
              </w:rPr>
            </w:pPr>
            <w:r w:rsidRPr="00293A4C">
              <w:rPr>
                <w:color w:val="000000"/>
                <w:sz w:val="22"/>
                <w:szCs w:val="22"/>
              </w:rPr>
              <w:t xml:space="preserve">   Savons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1 139,5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408,0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rPr>
                <w:color w:val="FF0000"/>
              </w:rPr>
            </w:pPr>
            <w:r w:rsidRPr="00293A4C">
              <w:rPr>
                <w:color w:val="FF0000"/>
                <w:sz w:val="22"/>
                <w:szCs w:val="22"/>
              </w:rPr>
              <w:t>-64,2%</w:t>
            </w:r>
          </w:p>
        </w:tc>
      </w:tr>
      <w:tr w:rsidR="008F715D" w:rsidRPr="00293A4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293A4C" w:rsidRDefault="008F715D" w:rsidP="002105A0">
            <w:pPr>
              <w:rPr>
                <w:color w:val="000000"/>
              </w:rPr>
            </w:pPr>
            <w:r w:rsidRPr="00293A4C">
              <w:rPr>
                <w:color w:val="000000"/>
                <w:sz w:val="22"/>
                <w:szCs w:val="22"/>
              </w:rPr>
              <w:t>Chiffre d’affaires (en millions de FCFA)</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3 736,0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1 916,9</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rPr>
                <w:color w:val="FF0000"/>
              </w:rPr>
            </w:pPr>
            <w:r w:rsidRPr="00293A4C">
              <w:rPr>
                <w:color w:val="FF0000"/>
                <w:sz w:val="22"/>
                <w:szCs w:val="22"/>
              </w:rPr>
              <w:t>-48,7%</w:t>
            </w:r>
          </w:p>
        </w:tc>
      </w:tr>
      <w:tr w:rsidR="008F715D" w:rsidRPr="00293A4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293A4C" w:rsidRDefault="008F715D" w:rsidP="002105A0">
            <w:pPr>
              <w:rPr>
                <w:color w:val="000000"/>
              </w:rPr>
            </w:pPr>
            <w:r w:rsidRPr="00293A4C">
              <w:rPr>
                <w:color w:val="000000"/>
                <w:sz w:val="22"/>
                <w:szCs w:val="22"/>
              </w:rPr>
              <w:t>Effectifs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173</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153</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rPr>
                <w:color w:val="FF0000"/>
              </w:rPr>
            </w:pPr>
            <w:r w:rsidRPr="00293A4C">
              <w:rPr>
                <w:color w:val="FF0000"/>
                <w:sz w:val="22"/>
                <w:szCs w:val="22"/>
              </w:rPr>
              <w:t>-11,6%</w:t>
            </w:r>
          </w:p>
        </w:tc>
      </w:tr>
      <w:tr w:rsidR="008F715D" w:rsidRPr="00293A4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293A4C" w:rsidRDefault="008F715D" w:rsidP="002105A0">
            <w:pPr>
              <w:rPr>
                <w:color w:val="000000"/>
              </w:rPr>
            </w:pPr>
            <w:r w:rsidRPr="00293A4C">
              <w:rPr>
                <w:color w:val="000000"/>
                <w:sz w:val="22"/>
                <w:szCs w:val="22"/>
              </w:rPr>
              <w:t>Masse salariale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550,5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551,3</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293A4C" w:rsidRDefault="008F715D" w:rsidP="002105A0">
            <w:pPr>
              <w:jc w:val="center"/>
            </w:pPr>
            <w:r w:rsidRPr="00293A4C">
              <w:rPr>
                <w:sz w:val="22"/>
                <w:szCs w:val="22"/>
              </w:rPr>
              <w:t>0,1%</w:t>
            </w:r>
          </w:p>
        </w:tc>
      </w:tr>
    </w:tbl>
    <w:p w:rsidR="008F715D" w:rsidRPr="00D727A0" w:rsidRDefault="008F715D" w:rsidP="008F715D">
      <w:pPr>
        <w:autoSpaceDE w:val="0"/>
        <w:autoSpaceDN w:val="0"/>
        <w:adjustRightInd w:val="0"/>
        <w:jc w:val="both"/>
        <w:rPr>
          <w:rFonts w:asciiTheme="majorBidi" w:hAnsiTheme="majorBidi" w:cstheme="majorBidi"/>
          <w:bCs/>
          <w:iCs/>
          <w:sz w:val="20"/>
          <w:szCs w:val="20"/>
        </w:rPr>
      </w:pPr>
      <w:r w:rsidRPr="00D727A0">
        <w:rPr>
          <w:rFonts w:asciiTheme="majorBidi" w:hAnsiTheme="majorBidi" w:cstheme="majorBidi"/>
          <w:bCs/>
          <w:iCs/>
          <w:sz w:val="20"/>
          <w:szCs w:val="20"/>
        </w:rPr>
        <w:t>Source : SIAT</w:t>
      </w:r>
    </w:p>
    <w:p w:rsidR="008F715D" w:rsidRDefault="008F715D" w:rsidP="008F715D">
      <w:pPr>
        <w:rPr>
          <w:rFonts w:asciiTheme="majorBidi" w:hAnsiTheme="majorBidi" w:cstheme="majorBidi"/>
        </w:rPr>
      </w:pPr>
    </w:p>
    <w:p w:rsidR="008F715D" w:rsidRDefault="008F715D" w:rsidP="008F715D">
      <w:pPr>
        <w:rPr>
          <w:rFonts w:asciiTheme="majorBidi" w:hAnsiTheme="majorBidi" w:cstheme="majorBidi"/>
        </w:rPr>
      </w:pPr>
    </w:p>
    <w:p w:rsidR="008F715D" w:rsidRDefault="008F715D" w:rsidP="008F715D">
      <w:pPr>
        <w:rPr>
          <w:rFonts w:asciiTheme="majorBidi" w:hAnsiTheme="majorBidi" w:cstheme="majorBidi"/>
        </w:rPr>
      </w:pPr>
    </w:p>
    <w:p w:rsidR="008F715D" w:rsidRPr="00651D8E" w:rsidRDefault="008F715D" w:rsidP="008F715D">
      <w:pPr>
        <w:rPr>
          <w:rFonts w:asciiTheme="majorBidi" w:hAnsiTheme="majorBidi" w:cstheme="majorBidi"/>
        </w:rPr>
      </w:pPr>
    </w:p>
    <w:p w:rsidR="008F715D" w:rsidRPr="00651D8E" w:rsidRDefault="008F715D" w:rsidP="008F715D">
      <w:pPr>
        <w:pStyle w:val="Titre3"/>
        <w:ind w:firstLine="0"/>
        <w:rPr>
          <w:rFonts w:asciiTheme="majorBidi" w:hAnsiTheme="majorBidi" w:cstheme="majorBidi"/>
          <w:b/>
          <w:bCs/>
          <w:i/>
          <w:iCs/>
          <w:color w:val="0000FF"/>
          <w:sz w:val="24"/>
        </w:rPr>
      </w:pPr>
      <w:bookmarkStart w:id="78" w:name="_Toc420027518"/>
      <w:bookmarkStart w:id="79" w:name="_Toc462990818"/>
      <w:r>
        <w:rPr>
          <w:rFonts w:asciiTheme="majorBidi" w:hAnsiTheme="majorBidi" w:cstheme="majorBidi"/>
          <w:b/>
          <w:bCs/>
          <w:i/>
          <w:iCs/>
          <w:color w:val="0000FF"/>
          <w:sz w:val="24"/>
        </w:rPr>
        <w:t>II.7</w:t>
      </w:r>
      <w:r w:rsidRPr="00651D8E">
        <w:rPr>
          <w:rFonts w:asciiTheme="majorBidi" w:hAnsiTheme="majorBidi" w:cstheme="majorBidi"/>
          <w:b/>
          <w:bCs/>
          <w:i/>
          <w:iCs/>
          <w:color w:val="0000FF"/>
          <w:sz w:val="24"/>
        </w:rPr>
        <w:t>.3</w:t>
      </w:r>
      <w:r>
        <w:rPr>
          <w:rFonts w:asciiTheme="majorBidi" w:hAnsiTheme="majorBidi" w:cstheme="majorBidi"/>
          <w:b/>
          <w:bCs/>
          <w:i/>
          <w:iCs/>
          <w:color w:val="0000FF"/>
          <w:sz w:val="24"/>
        </w:rPr>
        <w:t>.</w:t>
      </w:r>
      <w:r w:rsidRPr="00651D8E">
        <w:rPr>
          <w:rFonts w:asciiTheme="majorBidi" w:hAnsiTheme="majorBidi" w:cstheme="majorBidi"/>
          <w:b/>
          <w:bCs/>
          <w:i/>
          <w:iCs/>
          <w:color w:val="0000FF"/>
          <w:sz w:val="24"/>
        </w:rPr>
        <w:t xml:space="preserve"> Le sucre</w:t>
      </w:r>
      <w:bookmarkEnd w:id="78"/>
      <w:bookmarkEnd w:id="79"/>
    </w:p>
    <w:p w:rsidR="008F715D" w:rsidRPr="00651D8E" w:rsidRDefault="008F715D" w:rsidP="008F715D">
      <w:pPr>
        <w:autoSpaceDE w:val="0"/>
        <w:autoSpaceDN w:val="0"/>
        <w:adjustRightInd w:val="0"/>
        <w:jc w:val="both"/>
        <w:rPr>
          <w:rFonts w:asciiTheme="majorBidi" w:hAnsiTheme="majorBidi" w:cstheme="majorBidi"/>
          <w:bCs/>
          <w:iCs/>
        </w:rPr>
      </w:pPr>
    </w:p>
    <w:p w:rsidR="008F715D" w:rsidRPr="00ED1B40" w:rsidRDefault="008F715D" w:rsidP="008F715D">
      <w:pPr>
        <w:pStyle w:val="Sansinterligne"/>
        <w:jc w:val="both"/>
        <w:rPr>
          <w:rFonts w:asciiTheme="majorBidi" w:hAnsiTheme="majorBidi" w:cstheme="majorBidi"/>
          <w:sz w:val="24"/>
          <w:szCs w:val="24"/>
        </w:rPr>
      </w:pPr>
      <w:r w:rsidRPr="004B14A6">
        <w:rPr>
          <w:rFonts w:asciiTheme="majorBidi" w:hAnsiTheme="majorBidi" w:cstheme="majorBidi"/>
          <w:sz w:val="24"/>
          <w:szCs w:val="24"/>
        </w:rPr>
        <w:t>Au terme des six premiers mois de 2016, la raffinerie de sucre s’est caractérisée par des résultats mitigés. En effet, sur le plan agroindustrielle, la production de granulé de 50 kg à baissé de 2,6%, en raison des pannes constatées du fait de l’obsolescence de l’outil de production. De même, la transformation de sucre en morceaux et autres présentations a connu un ralentissement (-40,9%), suite aux perturbations de la production liées à l’installation d’une nouvelle machine sur la deuxième ligne de production. Afin de satisfaire la demande croissante du marché, la société a eu recours aux importations pour un volume de 5 981</w:t>
      </w:r>
      <w:r>
        <w:rPr>
          <w:rFonts w:asciiTheme="majorBidi" w:hAnsiTheme="majorBidi" w:cstheme="majorBidi"/>
          <w:sz w:val="24"/>
          <w:szCs w:val="24"/>
        </w:rPr>
        <w:t xml:space="preserve"> tonnes de sucre.</w:t>
      </w:r>
    </w:p>
    <w:p w:rsidR="008F715D" w:rsidRPr="004E39A6" w:rsidRDefault="008F715D" w:rsidP="008F715D">
      <w:pPr>
        <w:pStyle w:val="Sansinterligne"/>
        <w:jc w:val="both"/>
        <w:rPr>
          <w:rFonts w:asciiTheme="majorBidi" w:hAnsiTheme="majorBidi" w:cstheme="majorBidi"/>
          <w:sz w:val="24"/>
          <w:szCs w:val="24"/>
        </w:rPr>
      </w:pPr>
    </w:p>
    <w:p w:rsidR="008F715D" w:rsidRPr="004E39A6" w:rsidRDefault="008F715D" w:rsidP="008F715D">
      <w:pPr>
        <w:pStyle w:val="Sansinterligne"/>
        <w:jc w:val="both"/>
        <w:rPr>
          <w:rFonts w:asciiTheme="majorBidi" w:hAnsiTheme="majorBidi" w:cstheme="majorBidi"/>
          <w:sz w:val="24"/>
          <w:szCs w:val="24"/>
        </w:rPr>
      </w:pPr>
      <w:r w:rsidRPr="004E39A6">
        <w:rPr>
          <w:rFonts w:asciiTheme="majorBidi" w:hAnsiTheme="majorBidi" w:cstheme="majorBidi"/>
          <w:sz w:val="24"/>
          <w:szCs w:val="24"/>
        </w:rPr>
        <w:t>Cependant, sur le plan commercial, la demande soutenue des principaux clients (brasseries et aux boulangeries) et des ménages a boosté les ventes de sucre (+3,8%), induisant un chiffre d’affaires de 10,1 milliards de FCFA à fin juin 2016, soit un accroissement de 2,5%.</w:t>
      </w:r>
    </w:p>
    <w:p w:rsidR="008F715D" w:rsidRPr="00CB1F5B" w:rsidRDefault="008F715D" w:rsidP="008F715D">
      <w:pPr>
        <w:pStyle w:val="Sansinterligne"/>
        <w:jc w:val="both"/>
        <w:rPr>
          <w:rFonts w:asciiTheme="majorBidi" w:hAnsiTheme="majorBidi" w:cstheme="majorBidi"/>
          <w:sz w:val="24"/>
          <w:szCs w:val="24"/>
        </w:rPr>
      </w:pPr>
    </w:p>
    <w:p w:rsidR="008F715D" w:rsidRDefault="008F715D" w:rsidP="008F715D">
      <w:pPr>
        <w:autoSpaceDE w:val="0"/>
        <w:autoSpaceDN w:val="0"/>
        <w:adjustRightInd w:val="0"/>
        <w:jc w:val="both"/>
        <w:rPr>
          <w:rFonts w:asciiTheme="majorBidi" w:hAnsiTheme="majorBidi" w:cstheme="majorBidi"/>
          <w:b/>
          <w:i/>
        </w:rPr>
      </w:pPr>
      <w:r w:rsidRPr="00CB1F5B">
        <w:rPr>
          <w:rFonts w:asciiTheme="majorBidi" w:hAnsiTheme="majorBidi" w:cstheme="majorBidi"/>
          <w:b/>
          <w:i/>
        </w:rPr>
        <w:t>Evolution de l’activité sucrière</w:t>
      </w:r>
    </w:p>
    <w:tbl>
      <w:tblPr>
        <w:tblW w:w="8946" w:type="dxa"/>
        <w:tblInd w:w="55" w:type="dxa"/>
        <w:tblCellMar>
          <w:left w:w="70" w:type="dxa"/>
          <w:right w:w="70" w:type="dxa"/>
        </w:tblCellMar>
        <w:tblLook w:val="04A0"/>
      </w:tblPr>
      <w:tblGrid>
        <w:gridCol w:w="4840"/>
        <w:gridCol w:w="1371"/>
        <w:gridCol w:w="1371"/>
        <w:gridCol w:w="1364"/>
      </w:tblGrid>
      <w:tr w:rsidR="008F715D" w:rsidRPr="00EE03BF"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EE03BF" w:rsidRDefault="008F715D" w:rsidP="002105A0">
            <w:pPr>
              <w:rPr>
                <w:color w:val="000000"/>
              </w:rPr>
            </w:pPr>
          </w:p>
        </w:tc>
        <w:tc>
          <w:tcPr>
            <w:tcW w:w="4106"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Premier semestre</w:t>
            </w:r>
          </w:p>
        </w:tc>
      </w:tr>
      <w:tr w:rsidR="008F715D" w:rsidRPr="00EE03B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E03BF" w:rsidRDefault="008F715D" w:rsidP="002105A0">
            <w:pPr>
              <w:rPr>
                <w:color w:val="000000"/>
              </w:rPr>
            </w:pPr>
            <w:r w:rsidRPr="00EE03BF">
              <w:rPr>
                <w:color w:val="000000"/>
                <w:sz w:val="22"/>
                <w:szCs w:val="22"/>
              </w:rPr>
              <w:t> </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2015</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2016</w:t>
            </w:r>
          </w:p>
        </w:tc>
        <w:tc>
          <w:tcPr>
            <w:tcW w:w="1364"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pPr>
            <w:r w:rsidRPr="00EE03BF">
              <w:rPr>
                <w:sz w:val="22"/>
                <w:szCs w:val="22"/>
              </w:rPr>
              <w:t>Var 16/15</w:t>
            </w:r>
          </w:p>
        </w:tc>
      </w:tr>
      <w:tr w:rsidR="008F715D" w:rsidRPr="00EE03B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E03BF" w:rsidRDefault="008F715D" w:rsidP="002105A0">
            <w:pPr>
              <w:rPr>
                <w:color w:val="000000"/>
              </w:rPr>
            </w:pPr>
            <w:r w:rsidRPr="00EE03BF">
              <w:rPr>
                <w:color w:val="000000"/>
                <w:sz w:val="22"/>
                <w:szCs w:val="22"/>
              </w:rPr>
              <w:t xml:space="preserve">Production </w:t>
            </w:r>
            <w:r>
              <w:rPr>
                <w:color w:val="000000"/>
                <w:sz w:val="22"/>
                <w:szCs w:val="22"/>
              </w:rPr>
              <w:t>de granulés de sucre de 50 kg</w:t>
            </w:r>
            <w:r w:rsidRPr="00EE03BF">
              <w:rPr>
                <w:color w:val="000000"/>
                <w:sz w:val="22"/>
                <w:szCs w:val="22"/>
              </w:rPr>
              <w:t xml:space="preserve"> (en tonnes)</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4 811</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4 688</w:t>
            </w:r>
          </w:p>
        </w:tc>
        <w:tc>
          <w:tcPr>
            <w:tcW w:w="1364"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FF0000"/>
              </w:rPr>
            </w:pPr>
            <w:r w:rsidRPr="00EE03BF">
              <w:rPr>
                <w:color w:val="FF0000"/>
                <w:sz w:val="22"/>
                <w:szCs w:val="22"/>
              </w:rPr>
              <w:t>-2,6%</w:t>
            </w:r>
          </w:p>
        </w:tc>
      </w:tr>
      <w:tr w:rsidR="008F715D" w:rsidRPr="00EE03B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E03BF" w:rsidRDefault="008F715D" w:rsidP="002105A0">
            <w:pPr>
              <w:rPr>
                <w:color w:val="000000"/>
              </w:rPr>
            </w:pPr>
            <w:r w:rsidRPr="00EE03BF">
              <w:rPr>
                <w:color w:val="000000"/>
                <w:sz w:val="22"/>
                <w:szCs w:val="22"/>
              </w:rPr>
              <w:t>Importation (en tonnes)</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4 900</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5 981</w:t>
            </w:r>
          </w:p>
        </w:tc>
        <w:tc>
          <w:tcPr>
            <w:tcW w:w="1364"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pPr>
            <w:r w:rsidRPr="00EE03BF">
              <w:rPr>
                <w:sz w:val="22"/>
                <w:szCs w:val="22"/>
              </w:rPr>
              <w:t>22,1%</w:t>
            </w:r>
          </w:p>
        </w:tc>
      </w:tr>
      <w:tr w:rsidR="008F715D" w:rsidRPr="00EE03B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E03BF" w:rsidRDefault="008F715D" w:rsidP="002105A0">
            <w:pPr>
              <w:rPr>
                <w:color w:val="000000"/>
              </w:rPr>
            </w:pPr>
            <w:r w:rsidRPr="00EE03BF">
              <w:rPr>
                <w:color w:val="000000"/>
                <w:sz w:val="22"/>
                <w:szCs w:val="22"/>
              </w:rPr>
              <w:t>Total du sucre transformé (en tonnes)</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8 080</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4 774</w:t>
            </w:r>
          </w:p>
        </w:tc>
        <w:tc>
          <w:tcPr>
            <w:tcW w:w="1364"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FF0000"/>
              </w:rPr>
            </w:pPr>
            <w:r w:rsidRPr="00EE03BF">
              <w:rPr>
                <w:color w:val="FF0000"/>
                <w:sz w:val="22"/>
                <w:szCs w:val="22"/>
              </w:rPr>
              <w:t>-40,9%</w:t>
            </w:r>
          </w:p>
        </w:tc>
      </w:tr>
      <w:tr w:rsidR="008F715D" w:rsidRPr="00EE03B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E03BF" w:rsidRDefault="008F715D" w:rsidP="002105A0">
            <w:pPr>
              <w:rPr>
                <w:color w:val="000000"/>
              </w:rPr>
            </w:pPr>
            <w:r w:rsidRPr="00EE03BF">
              <w:rPr>
                <w:color w:val="000000"/>
                <w:sz w:val="22"/>
                <w:szCs w:val="22"/>
              </w:rPr>
              <w:t xml:space="preserve">   Sucre (en morceaux)</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3 663</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4 774</w:t>
            </w:r>
          </w:p>
        </w:tc>
        <w:tc>
          <w:tcPr>
            <w:tcW w:w="1364"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pPr>
            <w:r w:rsidRPr="00EE03BF">
              <w:rPr>
                <w:sz w:val="22"/>
                <w:szCs w:val="22"/>
              </w:rPr>
              <w:t>30,3%</w:t>
            </w:r>
          </w:p>
        </w:tc>
      </w:tr>
      <w:tr w:rsidR="008F715D" w:rsidRPr="00EE03B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E03BF" w:rsidRDefault="008F715D" w:rsidP="002105A0">
            <w:pPr>
              <w:rPr>
                <w:color w:val="000000"/>
              </w:rPr>
            </w:pPr>
            <w:r w:rsidRPr="00EE03BF">
              <w:rPr>
                <w:color w:val="000000"/>
                <w:sz w:val="22"/>
                <w:szCs w:val="22"/>
              </w:rPr>
              <w:t xml:space="preserve">   Autres (doses+granulés+sachets 1 kg)</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4 417</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0</w:t>
            </w:r>
          </w:p>
        </w:tc>
        <w:tc>
          <w:tcPr>
            <w:tcW w:w="1364"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FF0000"/>
              </w:rPr>
            </w:pPr>
            <w:r w:rsidRPr="00EE03BF">
              <w:rPr>
                <w:color w:val="FF0000"/>
                <w:sz w:val="22"/>
                <w:szCs w:val="22"/>
              </w:rPr>
              <w:t>-</w:t>
            </w:r>
          </w:p>
        </w:tc>
      </w:tr>
      <w:tr w:rsidR="008F715D" w:rsidRPr="00EE03B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E03BF" w:rsidRDefault="008F715D" w:rsidP="002105A0">
            <w:pPr>
              <w:rPr>
                <w:color w:val="000000"/>
              </w:rPr>
            </w:pPr>
            <w:r w:rsidRPr="00EE03BF">
              <w:rPr>
                <w:color w:val="000000"/>
                <w:sz w:val="22"/>
                <w:szCs w:val="22"/>
              </w:rPr>
              <w:t>Ventes (en tonnes)</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15 901</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16 501</w:t>
            </w:r>
          </w:p>
        </w:tc>
        <w:tc>
          <w:tcPr>
            <w:tcW w:w="1364"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pPr>
            <w:r w:rsidRPr="00EE03BF">
              <w:rPr>
                <w:sz w:val="22"/>
                <w:szCs w:val="22"/>
              </w:rPr>
              <w:t>3,8%</w:t>
            </w:r>
          </w:p>
        </w:tc>
      </w:tr>
      <w:tr w:rsidR="008F715D" w:rsidRPr="00EE03B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E03BF" w:rsidRDefault="008F715D" w:rsidP="002105A0">
            <w:pPr>
              <w:rPr>
                <w:color w:val="000000"/>
              </w:rPr>
            </w:pPr>
            <w:r w:rsidRPr="00EE03BF">
              <w:rPr>
                <w:color w:val="000000"/>
                <w:sz w:val="22"/>
                <w:szCs w:val="22"/>
              </w:rPr>
              <w:t>Chiffre d’affaires (en millions de FCFA)</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9 888</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10 134</w:t>
            </w:r>
          </w:p>
        </w:tc>
        <w:tc>
          <w:tcPr>
            <w:tcW w:w="1364"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pPr>
            <w:r w:rsidRPr="00EE03BF">
              <w:rPr>
                <w:sz w:val="22"/>
                <w:szCs w:val="22"/>
              </w:rPr>
              <w:t>2,5%</w:t>
            </w:r>
          </w:p>
        </w:tc>
      </w:tr>
      <w:tr w:rsidR="008F715D" w:rsidRPr="00EE03B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E03BF" w:rsidRDefault="008F715D" w:rsidP="002105A0">
            <w:pPr>
              <w:rPr>
                <w:color w:val="000000"/>
              </w:rPr>
            </w:pPr>
            <w:r w:rsidRPr="00EE03BF">
              <w:rPr>
                <w:color w:val="000000"/>
                <w:sz w:val="22"/>
                <w:szCs w:val="22"/>
              </w:rPr>
              <w:t>Effectifs</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381</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363</w:t>
            </w:r>
          </w:p>
        </w:tc>
        <w:tc>
          <w:tcPr>
            <w:tcW w:w="1364"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FF0000"/>
              </w:rPr>
            </w:pPr>
            <w:r w:rsidRPr="00EE03BF">
              <w:rPr>
                <w:color w:val="FF0000"/>
                <w:sz w:val="22"/>
                <w:szCs w:val="22"/>
              </w:rPr>
              <w:t>-4,7%</w:t>
            </w:r>
          </w:p>
        </w:tc>
      </w:tr>
      <w:tr w:rsidR="008F715D" w:rsidRPr="00EE03B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E03BF" w:rsidRDefault="008F715D" w:rsidP="002105A0">
            <w:pPr>
              <w:rPr>
                <w:color w:val="000000"/>
              </w:rPr>
            </w:pPr>
            <w:r w:rsidRPr="00EE03BF">
              <w:rPr>
                <w:color w:val="000000"/>
                <w:sz w:val="22"/>
                <w:szCs w:val="22"/>
              </w:rPr>
              <w:t>Masse salariale</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1 370</w:t>
            </w:r>
          </w:p>
        </w:tc>
        <w:tc>
          <w:tcPr>
            <w:tcW w:w="1371"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rPr>
                <w:color w:val="000000"/>
              </w:rPr>
            </w:pPr>
            <w:r w:rsidRPr="00EE03BF">
              <w:rPr>
                <w:color w:val="000000"/>
                <w:sz w:val="22"/>
                <w:szCs w:val="22"/>
              </w:rPr>
              <w:t>1 570</w:t>
            </w:r>
          </w:p>
        </w:tc>
        <w:tc>
          <w:tcPr>
            <w:tcW w:w="1364" w:type="dxa"/>
            <w:tcBorders>
              <w:top w:val="nil"/>
              <w:left w:val="nil"/>
              <w:bottom w:val="single" w:sz="12" w:space="0" w:color="0070C0"/>
              <w:right w:val="single" w:sz="12" w:space="0" w:color="0070C0"/>
            </w:tcBorders>
            <w:shd w:val="clear" w:color="auto" w:fill="auto"/>
            <w:noWrap/>
            <w:vAlign w:val="center"/>
            <w:hideMark/>
          </w:tcPr>
          <w:p w:rsidR="008F715D" w:rsidRPr="00EE03BF" w:rsidRDefault="008F715D" w:rsidP="002105A0">
            <w:pPr>
              <w:jc w:val="center"/>
            </w:pPr>
            <w:r w:rsidRPr="00EE03BF">
              <w:rPr>
                <w:sz w:val="22"/>
                <w:szCs w:val="22"/>
              </w:rPr>
              <w:t>14,6%</w:t>
            </w:r>
          </w:p>
        </w:tc>
      </w:tr>
    </w:tbl>
    <w:p w:rsidR="008F715D" w:rsidRPr="00D727A0" w:rsidRDefault="008F715D" w:rsidP="008F715D">
      <w:pPr>
        <w:autoSpaceDE w:val="0"/>
        <w:autoSpaceDN w:val="0"/>
        <w:adjustRightInd w:val="0"/>
        <w:jc w:val="both"/>
        <w:rPr>
          <w:rFonts w:asciiTheme="majorBidi" w:hAnsiTheme="majorBidi" w:cstheme="majorBidi"/>
          <w:bCs/>
          <w:iCs/>
          <w:sz w:val="20"/>
          <w:szCs w:val="20"/>
        </w:rPr>
      </w:pPr>
      <w:r w:rsidRPr="00D727A0">
        <w:rPr>
          <w:rFonts w:asciiTheme="majorBidi" w:hAnsiTheme="majorBidi" w:cstheme="majorBidi"/>
          <w:bCs/>
          <w:iCs/>
          <w:sz w:val="20"/>
          <w:szCs w:val="20"/>
        </w:rPr>
        <w:t>Source : Sucaf</w:t>
      </w:r>
    </w:p>
    <w:p w:rsidR="008F715D" w:rsidRPr="00141B48" w:rsidRDefault="008F715D" w:rsidP="008F715D">
      <w:pPr>
        <w:ind w:right="44"/>
        <w:jc w:val="both"/>
        <w:rPr>
          <w:rFonts w:asciiTheme="majorBidi" w:hAnsiTheme="majorBidi" w:cstheme="majorBidi"/>
          <w:bCs/>
          <w:iCs/>
          <w:color w:val="000000"/>
        </w:rPr>
      </w:pPr>
    </w:p>
    <w:p w:rsidR="008F715D" w:rsidRPr="00377DCB" w:rsidRDefault="008F715D" w:rsidP="008F715D">
      <w:pPr>
        <w:pStyle w:val="Titre3"/>
        <w:ind w:firstLine="0"/>
        <w:rPr>
          <w:rFonts w:asciiTheme="majorBidi" w:hAnsiTheme="majorBidi" w:cstheme="majorBidi"/>
          <w:b/>
          <w:bCs/>
          <w:i/>
          <w:iCs/>
          <w:color w:val="0000FF"/>
          <w:sz w:val="24"/>
        </w:rPr>
      </w:pPr>
      <w:bookmarkStart w:id="80" w:name="_Toc420027519"/>
      <w:bookmarkStart w:id="81" w:name="_Toc462990819"/>
      <w:r>
        <w:rPr>
          <w:rFonts w:asciiTheme="majorBidi" w:hAnsiTheme="majorBidi" w:cstheme="majorBidi"/>
          <w:b/>
          <w:bCs/>
          <w:i/>
          <w:iCs/>
          <w:color w:val="0000FF"/>
          <w:sz w:val="24"/>
        </w:rPr>
        <w:t>II.7</w:t>
      </w:r>
      <w:r w:rsidRPr="00377DCB">
        <w:rPr>
          <w:rFonts w:asciiTheme="majorBidi" w:hAnsiTheme="majorBidi" w:cstheme="majorBidi"/>
          <w:b/>
          <w:bCs/>
          <w:i/>
          <w:iCs/>
          <w:color w:val="0000FF"/>
          <w:sz w:val="24"/>
        </w:rPr>
        <w:t>.</w:t>
      </w:r>
      <w:bookmarkStart w:id="82" w:name="_Toc356891307"/>
      <w:r w:rsidRPr="00377DCB">
        <w:rPr>
          <w:rFonts w:asciiTheme="majorBidi" w:hAnsiTheme="majorBidi" w:cstheme="majorBidi"/>
          <w:b/>
          <w:bCs/>
          <w:i/>
          <w:iCs/>
          <w:color w:val="0000FF"/>
          <w:sz w:val="24"/>
        </w:rPr>
        <w:t>4. Les boissons gazeuses et alcoolisées</w:t>
      </w:r>
      <w:bookmarkEnd w:id="80"/>
      <w:bookmarkEnd w:id="81"/>
      <w:bookmarkEnd w:id="82"/>
    </w:p>
    <w:p w:rsidR="008F715D" w:rsidRPr="00141B48" w:rsidRDefault="008F715D" w:rsidP="008F715D">
      <w:pPr>
        <w:ind w:right="44"/>
        <w:jc w:val="both"/>
        <w:rPr>
          <w:rFonts w:asciiTheme="majorBidi" w:hAnsiTheme="majorBidi" w:cstheme="majorBidi"/>
          <w:bCs/>
          <w:iCs/>
          <w:color w:val="000000"/>
        </w:rPr>
      </w:pPr>
    </w:p>
    <w:p w:rsidR="008F715D" w:rsidRDefault="008F715D" w:rsidP="008F715D">
      <w:pPr>
        <w:ind w:right="44"/>
        <w:jc w:val="both"/>
        <w:rPr>
          <w:rFonts w:asciiTheme="majorBidi" w:hAnsiTheme="majorBidi" w:cstheme="majorBidi"/>
          <w:bCs/>
          <w:iCs/>
          <w:color w:val="000000"/>
        </w:rPr>
      </w:pPr>
      <w:r>
        <w:rPr>
          <w:rFonts w:asciiTheme="majorBidi" w:hAnsiTheme="majorBidi" w:cstheme="majorBidi"/>
          <w:bCs/>
          <w:iCs/>
          <w:color w:val="000000"/>
        </w:rPr>
        <w:t>La branche</w:t>
      </w:r>
      <w:r w:rsidRPr="00141B48">
        <w:rPr>
          <w:rFonts w:asciiTheme="majorBidi" w:hAnsiTheme="majorBidi" w:cstheme="majorBidi"/>
          <w:bCs/>
          <w:iCs/>
          <w:color w:val="000000"/>
        </w:rPr>
        <w:t xml:space="preserve"> des boissons gazeuses et alcoolisées a enregistré des r</w:t>
      </w:r>
      <w:r>
        <w:rPr>
          <w:rFonts w:asciiTheme="majorBidi" w:hAnsiTheme="majorBidi" w:cstheme="majorBidi"/>
          <w:bCs/>
          <w:iCs/>
          <w:color w:val="000000"/>
        </w:rPr>
        <w:t>ésultats globalement positifs</w:t>
      </w:r>
      <w:r w:rsidRPr="00141B48">
        <w:rPr>
          <w:rFonts w:asciiTheme="majorBidi" w:hAnsiTheme="majorBidi" w:cstheme="majorBidi"/>
          <w:bCs/>
          <w:iCs/>
          <w:color w:val="000000"/>
        </w:rPr>
        <w:t xml:space="preserve"> à fin juin 2016</w:t>
      </w:r>
      <w:r>
        <w:rPr>
          <w:rFonts w:asciiTheme="majorBidi" w:hAnsiTheme="majorBidi" w:cstheme="majorBidi"/>
          <w:bCs/>
          <w:iCs/>
          <w:color w:val="000000"/>
        </w:rPr>
        <w:t>. Ainsi, la</w:t>
      </w:r>
      <w:r w:rsidRPr="00141B48">
        <w:rPr>
          <w:rFonts w:asciiTheme="majorBidi" w:hAnsiTheme="majorBidi" w:cstheme="majorBidi"/>
          <w:bCs/>
          <w:iCs/>
          <w:color w:val="000000"/>
        </w:rPr>
        <w:t xml:space="preserve"> production totale </w:t>
      </w:r>
      <w:r>
        <w:rPr>
          <w:rFonts w:asciiTheme="majorBidi" w:hAnsiTheme="majorBidi" w:cstheme="majorBidi"/>
          <w:bCs/>
          <w:iCs/>
          <w:color w:val="000000"/>
        </w:rPr>
        <w:t xml:space="preserve">s’est élevée à </w:t>
      </w:r>
      <w:r w:rsidRPr="00141B48">
        <w:rPr>
          <w:rFonts w:asciiTheme="majorBidi" w:hAnsiTheme="majorBidi" w:cstheme="majorBidi"/>
          <w:bCs/>
          <w:iCs/>
          <w:color w:val="000000"/>
        </w:rPr>
        <w:t>1,4 million d’hectolitres</w:t>
      </w:r>
      <w:r>
        <w:rPr>
          <w:rFonts w:asciiTheme="majorBidi" w:hAnsiTheme="majorBidi" w:cstheme="majorBidi"/>
          <w:bCs/>
          <w:iCs/>
          <w:color w:val="000000"/>
        </w:rPr>
        <w:t>, soit une hausse de 5,7% par rapport à la même période en 2015, sous l’effet des travaux de réhabilitation des usines. Les bières, l</w:t>
      </w:r>
      <w:r w:rsidRPr="00141B48">
        <w:rPr>
          <w:rFonts w:asciiTheme="majorBidi" w:hAnsiTheme="majorBidi" w:cstheme="majorBidi"/>
          <w:bCs/>
          <w:iCs/>
          <w:color w:val="000000"/>
        </w:rPr>
        <w:t xml:space="preserve">es vins et </w:t>
      </w:r>
      <w:r>
        <w:rPr>
          <w:rFonts w:asciiTheme="majorBidi" w:hAnsiTheme="majorBidi" w:cstheme="majorBidi"/>
          <w:bCs/>
          <w:iCs/>
          <w:color w:val="000000"/>
        </w:rPr>
        <w:t xml:space="preserve">les </w:t>
      </w:r>
      <w:r w:rsidRPr="00B06894">
        <w:rPr>
          <w:rFonts w:asciiTheme="majorBidi" w:hAnsiTheme="majorBidi" w:cstheme="majorBidi"/>
          <w:bCs/>
          <w:iCs/>
        </w:rPr>
        <w:t>alcoomix se</w:t>
      </w:r>
      <w:r>
        <w:rPr>
          <w:rFonts w:asciiTheme="majorBidi" w:hAnsiTheme="majorBidi" w:cstheme="majorBidi"/>
          <w:bCs/>
          <w:iCs/>
          <w:color w:val="000000"/>
        </w:rPr>
        <w:t xml:space="preserve"> sont bien comportés en raison d</w:t>
      </w:r>
      <w:r w:rsidRPr="00141B48">
        <w:rPr>
          <w:rFonts w:asciiTheme="majorBidi" w:hAnsiTheme="majorBidi" w:cstheme="majorBidi"/>
          <w:bCs/>
          <w:iCs/>
          <w:color w:val="000000"/>
        </w:rPr>
        <w:t xml:space="preserve">e la fermeté de la demande locale. </w:t>
      </w:r>
      <w:r w:rsidRPr="00025DF7">
        <w:rPr>
          <w:rFonts w:asciiTheme="majorBidi" w:hAnsiTheme="majorBidi" w:cstheme="majorBidi"/>
          <w:bCs/>
          <w:iCs/>
          <w:color w:val="000000"/>
        </w:rPr>
        <w:t xml:space="preserve">En conséquence, </w:t>
      </w:r>
      <w:r w:rsidRPr="00141B48">
        <w:rPr>
          <w:rFonts w:asciiTheme="majorBidi" w:hAnsiTheme="majorBidi" w:cstheme="majorBidi"/>
          <w:bCs/>
          <w:iCs/>
          <w:color w:val="000000"/>
        </w:rPr>
        <w:t xml:space="preserve">le chiffre d’affaires a progressé de </w:t>
      </w:r>
      <w:r>
        <w:rPr>
          <w:rFonts w:asciiTheme="majorBidi" w:hAnsiTheme="majorBidi" w:cstheme="majorBidi"/>
          <w:bCs/>
          <w:iCs/>
          <w:color w:val="000000"/>
        </w:rPr>
        <w:t>8,8</w:t>
      </w:r>
      <w:r w:rsidRPr="00141B48">
        <w:rPr>
          <w:rFonts w:asciiTheme="majorBidi" w:hAnsiTheme="majorBidi" w:cstheme="majorBidi"/>
          <w:bCs/>
          <w:iCs/>
          <w:color w:val="000000"/>
        </w:rPr>
        <w:t>% pour se situer à 82,5 milliards de francs CFA.</w:t>
      </w:r>
    </w:p>
    <w:p w:rsidR="008F715D" w:rsidRDefault="008F715D" w:rsidP="008F715D">
      <w:pPr>
        <w:ind w:right="44"/>
        <w:jc w:val="both"/>
        <w:rPr>
          <w:rFonts w:asciiTheme="majorBidi" w:hAnsiTheme="majorBidi" w:cstheme="majorBidi"/>
          <w:bCs/>
          <w:iCs/>
          <w:color w:val="000000"/>
        </w:rPr>
      </w:pPr>
    </w:p>
    <w:p w:rsidR="008F715D" w:rsidRDefault="008F715D" w:rsidP="008F715D">
      <w:pPr>
        <w:ind w:right="44"/>
        <w:jc w:val="both"/>
        <w:rPr>
          <w:rFonts w:asciiTheme="majorBidi" w:hAnsiTheme="majorBidi" w:cstheme="majorBidi"/>
          <w:bCs/>
          <w:iCs/>
          <w:color w:val="000000"/>
        </w:rPr>
      </w:pPr>
    </w:p>
    <w:p w:rsidR="008F715D" w:rsidRDefault="008F715D" w:rsidP="008F715D">
      <w:pPr>
        <w:ind w:right="44"/>
        <w:jc w:val="both"/>
        <w:rPr>
          <w:rFonts w:asciiTheme="majorBidi" w:hAnsiTheme="majorBidi" w:cstheme="majorBidi"/>
          <w:bCs/>
          <w:iCs/>
          <w:color w:val="000000"/>
        </w:rPr>
      </w:pPr>
    </w:p>
    <w:p w:rsidR="008F715D" w:rsidRDefault="008F715D" w:rsidP="008F715D">
      <w:pPr>
        <w:ind w:right="44"/>
        <w:jc w:val="both"/>
        <w:rPr>
          <w:rFonts w:asciiTheme="majorBidi" w:hAnsiTheme="majorBidi" w:cstheme="majorBidi"/>
          <w:bCs/>
          <w:iCs/>
          <w:color w:val="000000"/>
        </w:rPr>
      </w:pPr>
    </w:p>
    <w:p w:rsidR="008F715D" w:rsidRDefault="008F715D" w:rsidP="008F715D">
      <w:pPr>
        <w:ind w:right="44"/>
        <w:jc w:val="both"/>
        <w:rPr>
          <w:rFonts w:asciiTheme="majorBidi" w:hAnsiTheme="majorBidi" w:cstheme="majorBidi"/>
          <w:bCs/>
          <w:iCs/>
          <w:color w:val="000000"/>
        </w:rPr>
      </w:pPr>
    </w:p>
    <w:p w:rsidR="008F715D" w:rsidRDefault="008F715D" w:rsidP="008F715D">
      <w:pPr>
        <w:ind w:right="44"/>
        <w:jc w:val="both"/>
        <w:rPr>
          <w:rFonts w:asciiTheme="majorBidi" w:hAnsiTheme="majorBidi" w:cstheme="majorBidi"/>
          <w:bCs/>
          <w:iCs/>
          <w:color w:val="000000"/>
        </w:rPr>
      </w:pPr>
    </w:p>
    <w:p w:rsidR="008F715D" w:rsidRDefault="008F715D" w:rsidP="008F715D">
      <w:pPr>
        <w:ind w:right="44"/>
        <w:jc w:val="both"/>
        <w:rPr>
          <w:rFonts w:asciiTheme="majorBidi" w:hAnsiTheme="majorBidi" w:cstheme="majorBidi"/>
          <w:bCs/>
          <w:iCs/>
          <w:color w:val="000000"/>
        </w:rPr>
      </w:pPr>
    </w:p>
    <w:p w:rsidR="008F715D" w:rsidRDefault="008F715D" w:rsidP="008F715D">
      <w:pPr>
        <w:ind w:right="44"/>
        <w:jc w:val="both"/>
        <w:rPr>
          <w:rFonts w:asciiTheme="majorBidi" w:hAnsiTheme="majorBidi" w:cstheme="majorBidi"/>
          <w:bCs/>
          <w:iCs/>
          <w:color w:val="000000"/>
        </w:rPr>
      </w:pPr>
    </w:p>
    <w:p w:rsidR="008F715D" w:rsidRDefault="008F715D" w:rsidP="008F715D">
      <w:pPr>
        <w:ind w:right="44"/>
        <w:jc w:val="both"/>
        <w:rPr>
          <w:rFonts w:asciiTheme="majorBidi" w:hAnsiTheme="majorBidi" w:cstheme="majorBidi"/>
          <w:bCs/>
          <w:iCs/>
          <w:color w:val="000000"/>
        </w:rPr>
      </w:pPr>
    </w:p>
    <w:p w:rsidR="008F715D" w:rsidRDefault="008F715D" w:rsidP="008F715D">
      <w:pPr>
        <w:ind w:right="44"/>
        <w:jc w:val="both"/>
        <w:rPr>
          <w:rFonts w:asciiTheme="majorBidi" w:hAnsiTheme="majorBidi" w:cstheme="majorBidi"/>
          <w:bCs/>
          <w:iCs/>
          <w:color w:val="000000"/>
        </w:rPr>
      </w:pPr>
    </w:p>
    <w:p w:rsidR="008F715D" w:rsidRDefault="008F715D" w:rsidP="008F715D">
      <w:pPr>
        <w:ind w:right="44"/>
        <w:jc w:val="both"/>
        <w:rPr>
          <w:rFonts w:asciiTheme="majorBidi" w:hAnsiTheme="majorBidi" w:cstheme="majorBidi"/>
          <w:bCs/>
          <w:iCs/>
          <w:color w:val="000000"/>
        </w:rPr>
      </w:pPr>
    </w:p>
    <w:p w:rsidR="008F715D" w:rsidRDefault="008F715D" w:rsidP="008F715D">
      <w:pPr>
        <w:autoSpaceDE w:val="0"/>
        <w:autoSpaceDN w:val="0"/>
        <w:adjustRightInd w:val="0"/>
        <w:jc w:val="both"/>
        <w:rPr>
          <w:rFonts w:asciiTheme="majorBidi" w:hAnsiTheme="majorBidi" w:cstheme="majorBidi"/>
          <w:b/>
          <w:i/>
        </w:rPr>
      </w:pPr>
      <w:r w:rsidRPr="00CB1F5B">
        <w:rPr>
          <w:rFonts w:asciiTheme="majorBidi" w:hAnsiTheme="majorBidi" w:cstheme="majorBidi"/>
          <w:b/>
          <w:i/>
        </w:rPr>
        <w:t>Evolution de l’activité des boissons gazeuses et alcoolisées</w:t>
      </w:r>
    </w:p>
    <w:tbl>
      <w:tblPr>
        <w:tblW w:w="9087" w:type="dxa"/>
        <w:tblInd w:w="55" w:type="dxa"/>
        <w:tblLayout w:type="fixed"/>
        <w:tblCellMar>
          <w:left w:w="70" w:type="dxa"/>
          <w:right w:w="70" w:type="dxa"/>
        </w:tblCellMar>
        <w:tblLook w:val="04A0"/>
      </w:tblPr>
      <w:tblGrid>
        <w:gridCol w:w="4840"/>
        <w:gridCol w:w="1415"/>
        <w:gridCol w:w="1416"/>
        <w:gridCol w:w="1416"/>
      </w:tblGrid>
      <w:tr w:rsidR="008F715D" w:rsidRPr="00105608"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105608" w:rsidRDefault="008F715D" w:rsidP="002105A0">
            <w:pPr>
              <w:rPr>
                <w:color w:val="000000"/>
              </w:rPr>
            </w:pPr>
          </w:p>
        </w:tc>
        <w:tc>
          <w:tcPr>
            <w:tcW w:w="4247"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color w:val="000000"/>
              </w:rPr>
            </w:pPr>
            <w:r w:rsidRPr="00105608">
              <w:rPr>
                <w:color w:val="000000"/>
                <w:sz w:val="22"/>
                <w:szCs w:val="22"/>
              </w:rPr>
              <w:t>Premier semestre</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pPr>
              <w:rPr>
                <w:color w:val="000000"/>
              </w:rPr>
            </w:pPr>
            <w:r w:rsidRPr="00105608">
              <w:rPr>
                <w:color w:val="000000"/>
                <w:sz w:val="22"/>
                <w:szCs w:val="22"/>
              </w:rPr>
              <w:t> </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color w:val="000000"/>
              </w:rPr>
            </w:pPr>
            <w:r w:rsidRPr="00105608">
              <w:rPr>
                <w:color w:val="000000"/>
                <w:sz w:val="22"/>
                <w:szCs w:val="22"/>
              </w:rPr>
              <w:t>2015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color w:val="000000"/>
              </w:rPr>
            </w:pPr>
            <w:r w:rsidRPr="00105608">
              <w:rPr>
                <w:color w:val="000000"/>
                <w:sz w:val="22"/>
                <w:szCs w:val="22"/>
              </w:rPr>
              <w:t>2016</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Var 16/15</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pPr>
              <w:rPr>
                <w:b/>
                <w:bCs/>
                <w:color w:val="000000"/>
              </w:rPr>
            </w:pPr>
            <w:r w:rsidRPr="00105608">
              <w:rPr>
                <w:b/>
                <w:bCs/>
                <w:color w:val="000000"/>
                <w:sz w:val="22"/>
                <w:szCs w:val="22"/>
              </w:rPr>
              <w:t>Productions</w:t>
            </w:r>
            <w:r w:rsidRPr="00105608">
              <w:rPr>
                <w:color w:val="000000"/>
                <w:sz w:val="22"/>
                <w:szCs w:val="22"/>
              </w:rPr>
              <w:t xml:space="preserve"> (en hectolitres)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b/>
                <w:bCs/>
                <w:i/>
                <w:iCs/>
                <w:color w:val="000000"/>
              </w:rPr>
            </w:pPr>
            <w:r w:rsidRPr="00105608">
              <w:rPr>
                <w:b/>
                <w:bCs/>
                <w:i/>
                <w:iCs/>
                <w:color w:val="000000"/>
                <w:sz w:val="22"/>
                <w:szCs w:val="22"/>
              </w:rPr>
              <w:t>1 352 490</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b/>
                <w:bCs/>
                <w:i/>
                <w:iCs/>
                <w:color w:val="000000"/>
              </w:rPr>
            </w:pPr>
            <w:r w:rsidRPr="00105608">
              <w:rPr>
                <w:b/>
                <w:bCs/>
                <w:i/>
                <w:iCs/>
                <w:color w:val="000000"/>
                <w:sz w:val="22"/>
                <w:szCs w:val="22"/>
              </w:rPr>
              <w:t>1 430 247</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5,7%</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pPr>
              <w:rPr>
                <w:color w:val="000000"/>
              </w:rPr>
            </w:pPr>
            <w:r w:rsidRPr="00105608">
              <w:rPr>
                <w:color w:val="000000"/>
                <w:sz w:val="22"/>
                <w:szCs w:val="22"/>
              </w:rPr>
              <w:t xml:space="preserve">    Bières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754 914</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814 374</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7,9%</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pPr>
              <w:rPr>
                <w:color w:val="000000"/>
              </w:rPr>
            </w:pPr>
            <w:r w:rsidRPr="00105608">
              <w:rPr>
                <w:color w:val="000000"/>
                <w:sz w:val="22"/>
                <w:szCs w:val="22"/>
              </w:rPr>
              <w:t xml:space="preserve">    Boissons gazeuses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557 494</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567 197</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1,7%</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pPr>
              <w:rPr>
                <w:color w:val="000000"/>
              </w:rPr>
            </w:pPr>
            <w:r w:rsidRPr="00105608">
              <w:rPr>
                <w:color w:val="000000"/>
                <w:sz w:val="22"/>
                <w:szCs w:val="22"/>
              </w:rPr>
              <w:t xml:space="preserve">    Vins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17 941</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23 989</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33,7%</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pPr>
              <w:rPr>
                <w:color w:val="000000"/>
              </w:rPr>
            </w:pPr>
            <w:r w:rsidRPr="00105608">
              <w:rPr>
                <w:color w:val="000000"/>
                <w:sz w:val="22"/>
                <w:szCs w:val="22"/>
              </w:rPr>
              <w:t xml:space="preserve">    Divers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22 140</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24 688</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11,5%</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pPr>
              <w:rPr>
                <w:color w:val="000000"/>
              </w:rPr>
            </w:pPr>
            <w:r w:rsidRPr="00105608">
              <w:rPr>
                <w:color w:val="000000"/>
                <w:sz w:val="22"/>
                <w:szCs w:val="22"/>
              </w:rPr>
              <w:t>Chiffre d’affaires (en millions de FCFA)</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75 858</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Pr>
                <w:sz w:val="22"/>
                <w:szCs w:val="22"/>
              </w:rPr>
              <w:t>82</w:t>
            </w:r>
            <w:r w:rsidRPr="00105608">
              <w:rPr>
                <w:sz w:val="22"/>
                <w:szCs w:val="22"/>
              </w:rPr>
              <w:t xml:space="preserve"> 5</w:t>
            </w:r>
            <w:r>
              <w:rPr>
                <w:sz w:val="22"/>
                <w:szCs w:val="22"/>
              </w:rPr>
              <w:t>23</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8,</w:t>
            </w:r>
            <w:r>
              <w:rPr>
                <w:sz w:val="22"/>
                <w:szCs w:val="22"/>
              </w:rPr>
              <w:t>8</w:t>
            </w:r>
            <w:r w:rsidRPr="00105608">
              <w:rPr>
                <w:sz w:val="22"/>
                <w:szCs w:val="22"/>
              </w:rPr>
              <w:t>%</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pPr>
              <w:rPr>
                <w:color w:val="000000"/>
              </w:rPr>
            </w:pPr>
            <w:r w:rsidRPr="00105608">
              <w:rPr>
                <w:color w:val="000000"/>
                <w:sz w:val="22"/>
                <w:szCs w:val="22"/>
              </w:rPr>
              <w:t>Effectifs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965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981</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1,7%</w:t>
            </w:r>
          </w:p>
        </w:tc>
      </w:tr>
      <w:tr w:rsidR="008F715D" w:rsidRPr="0010560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105608" w:rsidRDefault="008F715D" w:rsidP="002105A0">
            <w:pPr>
              <w:rPr>
                <w:color w:val="000000"/>
              </w:rPr>
            </w:pPr>
            <w:r w:rsidRPr="00105608">
              <w:rPr>
                <w:color w:val="000000"/>
                <w:sz w:val="22"/>
                <w:szCs w:val="22"/>
              </w:rPr>
              <w:t>Masse salariale</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6 517</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pPr>
            <w:r w:rsidRPr="00105608">
              <w:rPr>
                <w:sz w:val="22"/>
                <w:szCs w:val="22"/>
              </w:rPr>
              <w:t>6 467</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105608" w:rsidRDefault="008F715D" w:rsidP="002105A0">
            <w:pPr>
              <w:jc w:val="center"/>
              <w:rPr>
                <w:color w:val="FF0000"/>
              </w:rPr>
            </w:pPr>
            <w:r w:rsidRPr="00105608">
              <w:rPr>
                <w:color w:val="FF0000"/>
                <w:sz w:val="22"/>
                <w:szCs w:val="22"/>
              </w:rPr>
              <w:t>-0,8%</w:t>
            </w:r>
          </w:p>
        </w:tc>
      </w:tr>
    </w:tbl>
    <w:p w:rsidR="008F715D" w:rsidRPr="00D727A0" w:rsidRDefault="008F715D" w:rsidP="008F715D">
      <w:pPr>
        <w:autoSpaceDE w:val="0"/>
        <w:autoSpaceDN w:val="0"/>
        <w:adjustRightInd w:val="0"/>
        <w:jc w:val="both"/>
        <w:rPr>
          <w:rFonts w:asciiTheme="majorBidi" w:hAnsiTheme="majorBidi" w:cstheme="majorBidi"/>
          <w:bCs/>
          <w:iCs/>
          <w:sz w:val="20"/>
          <w:szCs w:val="20"/>
        </w:rPr>
      </w:pPr>
      <w:r w:rsidRPr="00D727A0">
        <w:rPr>
          <w:rFonts w:asciiTheme="majorBidi" w:hAnsiTheme="majorBidi" w:cstheme="majorBidi"/>
          <w:bCs/>
          <w:iCs/>
          <w:sz w:val="20"/>
          <w:szCs w:val="20"/>
        </w:rPr>
        <w:t>Sources : Sobraga, Sovingab</w:t>
      </w:r>
    </w:p>
    <w:p w:rsidR="008F715D" w:rsidRPr="00651D8E" w:rsidRDefault="008F715D" w:rsidP="008F715D">
      <w:pPr>
        <w:rPr>
          <w:rFonts w:asciiTheme="majorBidi" w:hAnsiTheme="majorBidi" w:cstheme="majorBidi"/>
        </w:rPr>
      </w:pPr>
    </w:p>
    <w:p w:rsidR="008F715D" w:rsidRPr="00651D8E" w:rsidRDefault="008F715D" w:rsidP="008F715D">
      <w:pPr>
        <w:pStyle w:val="Titre3"/>
        <w:ind w:firstLine="0"/>
        <w:rPr>
          <w:rFonts w:asciiTheme="majorBidi" w:hAnsiTheme="majorBidi" w:cstheme="majorBidi"/>
          <w:b/>
          <w:bCs/>
          <w:i/>
          <w:iCs/>
          <w:color w:val="0000FF"/>
          <w:sz w:val="24"/>
        </w:rPr>
      </w:pPr>
      <w:bookmarkStart w:id="83" w:name="_Toc420027520"/>
      <w:bookmarkStart w:id="84" w:name="_Toc462990820"/>
      <w:r>
        <w:rPr>
          <w:rFonts w:asciiTheme="majorBidi" w:hAnsiTheme="majorBidi" w:cstheme="majorBidi"/>
          <w:b/>
          <w:bCs/>
          <w:i/>
          <w:iCs/>
          <w:color w:val="0000FF"/>
          <w:sz w:val="24"/>
        </w:rPr>
        <w:t>I</w:t>
      </w:r>
      <w:r w:rsidRPr="00651D8E">
        <w:rPr>
          <w:rFonts w:asciiTheme="majorBidi" w:hAnsiTheme="majorBidi" w:cstheme="majorBidi"/>
          <w:b/>
          <w:bCs/>
          <w:i/>
          <w:iCs/>
          <w:color w:val="0000FF"/>
          <w:sz w:val="24"/>
        </w:rPr>
        <w:t>I.</w:t>
      </w:r>
      <w:r>
        <w:rPr>
          <w:rFonts w:asciiTheme="majorBidi" w:hAnsiTheme="majorBidi" w:cstheme="majorBidi"/>
          <w:b/>
          <w:bCs/>
          <w:i/>
          <w:iCs/>
          <w:color w:val="0000FF"/>
          <w:sz w:val="24"/>
        </w:rPr>
        <w:t>7</w:t>
      </w:r>
      <w:r w:rsidRPr="00651D8E">
        <w:rPr>
          <w:rFonts w:asciiTheme="majorBidi" w:hAnsiTheme="majorBidi" w:cstheme="majorBidi"/>
          <w:b/>
          <w:bCs/>
          <w:i/>
          <w:iCs/>
          <w:color w:val="0000FF"/>
          <w:sz w:val="24"/>
        </w:rPr>
        <w:t>.5</w:t>
      </w:r>
      <w:r>
        <w:rPr>
          <w:rFonts w:asciiTheme="majorBidi" w:hAnsiTheme="majorBidi" w:cstheme="majorBidi"/>
          <w:b/>
          <w:bCs/>
          <w:i/>
          <w:iCs/>
          <w:color w:val="0000FF"/>
          <w:sz w:val="24"/>
        </w:rPr>
        <w:t>.</w:t>
      </w:r>
      <w:r w:rsidRPr="00651D8E">
        <w:rPr>
          <w:rFonts w:asciiTheme="majorBidi" w:hAnsiTheme="majorBidi" w:cstheme="majorBidi"/>
          <w:b/>
          <w:bCs/>
          <w:i/>
          <w:iCs/>
          <w:color w:val="0000FF"/>
          <w:sz w:val="24"/>
        </w:rPr>
        <w:t xml:space="preserve"> L’eau minérale</w:t>
      </w:r>
      <w:bookmarkEnd w:id="83"/>
      <w:bookmarkEnd w:id="84"/>
    </w:p>
    <w:p w:rsidR="008F715D" w:rsidRPr="00651D8E" w:rsidRDefault="008F715D" w:rsidP="008F715D"/>
    <w:p w:rsidR="008F715D" w:rsidRDefault="008F715D" w:rsidP="008F715D">
      <w:pPr>
        <w:jc w:val="both"/>
        <w:rPr>
          <w:rFonts w:asciiTheme="majorBidi" w:hAnsiTheme="majorBidi" w:cstheme="majorBidi"/>
          <w:bCs/>
          <w:iCs/>
          <w:color w:val="000000"/>
        </w:rPr>
      </w:pPr>
      <w:r w:rsidRPr="00141B48">
        <w:rPr>
          <w:rFonts w:asciiTheme="majorBidi" w:hAnsiTheme="majorBidi" w:cstheme="majorBidi"/>
          <w:bCs/>
          <w:iCs/>
          <w:color w:val="000000"/>
        </w:rPr>
        <w:t xml:space="preserve">A fin juin 2016, la production de l’eau minérale s’est élevée à 352 781 hectolitres, </w:t>
      </w:r>
      <w:r w:rsidRPr="00025DF7">
        <w:rPr>
          <w:rFonts w:asciiTheme="majorBidi" w:hAnsiTheme="majorBidi" w:cstheme="majorBidi"/>
          <w:bCs/>
          <w:iCs/>
          <w:color w:val="000000"/>
        </w:rPr>
        <w:t xml:space="preserve">soit un accroissement </w:t>
      </w:r>
      <w:r w:rsidRPr="00141B48">
        <w:rPr>
          <w:rFonts w:asciiTheme="majorBidi" w:hAnsiTheme="majorBidi" w:cstheme="majorBidi"/>
          <w:bCs/>
          <w:iCs/>
          <w:color w:val="000000"/>
        </w:rPr>
        <w:t>de 4,1%, suite à la fermeté de la demande locale. Parallèlement, le chiffre d’affaires s’est affermi de 5,6% pour s’établir à 7,5 milliards de FCFA.</w:t>
      </w:r>
    </w:p>
    <w:p w:rsidR="008F715D" w:rsidRPr="00C0053C" w:rsidRDefault="008F715D" w:rsidP="008F715D">
      <w:pPr>
        <w:jc w:val="both"/>
        <w:rPr>
          <w:rFonts w:asciiTheme="majorBidi" w:hAnsiTheme="majorBidi" w:cstheme="majorBidi"/>
          <w:highlight w:val="lightGray"/>
        </w:rPr>
      </w:pPr>
    </w:p>
    <w:p w:rsidR="008F715D" w:rsidRPr="00C53033" w:rsidRDefault="008F715D" w:rsidP="008F715D">
      <w:pPr>
        <w:jc w:val="both"/>
        <w:rPr>
          <w:rFonts w:asciiTheme="majorBidi" w:hAnsiTheme="majorBidi" w:cstheme="majorBidi"/>
          <w:bCs/>
          <w:iCs/>
          <w:color w:val="000000"/>
        </w:rPr>
      </w:pPr>
      <w:r>
        <w:rPr>
          <w:rFonts w:asciiTheme="majorBidi" w:hAnsiTheme="majorBidi" w:cstheme="majorBidi"/>
          <w:bCs/>
          <w:iCs/>
          <w:color w:val="000000"/>
        </w:rPr>
        <w:t xml:space="preserve">Au niveau de l’emploi, la société a fonctionné avec un effectif de </w:t>
      </w:r>
      <w:r w:rsidRPr="00C53033">
        <w:rPr>
          <w:rFonts w:asciiTheme="majorBidi" w:hAnsiTheme="majorBidi" w:cstheme="majorBidi"/>
          <w:bCs/>
          <w:iCs/>
          <w:color w:val="000000"/>
        </w:rPr>
        <w:t>66 agents permanents</w:t>
      </w:r>
      <w:r>
        <w:rPr>
          <w:rFonts w:asciiTheme="majorBidi" w:hAnsiTheme="majorBidi" w:cstheme="majorBidi"/>
          <w:bCs/>
          <w:iCs/>
          <w:color w:val="000000"/>
        </w:rPr>
        <w:t xml:space="preserve">, en progression de </w:t>
      </w:r>
      <w:r w:rsidRPr="00C53033">
        <w:rPr>
          <w:rFonts w:asciiTheme="majorBidi" w:hAnsiTheme="majorBidi" w:cstheme="majorBidi"/>
          <w:bCs/>
          <w:iCs/>
          <w:color w:val="000000"/>
        </w:rPr>
        <w:t>2</w:t>
      </w:r>
      <w:r>
        <w:rPr>
          <w:rFonts w:asciiTheme="majorBidi" w:hAnsiTheme="majorBidi" w:cstheme="majorBidi"/>
          <w:bCs/>
          <w:iCs/>
          <w:color w:val="000000"/>
        </w:rPr>
        <w:t>0</w:t>
      </w:r>
      <w:r w:rsidRPr="00C53033">
        <w:rPr>
          <w:rFonts w:asciiTheme="majorBidi" w:hAnsiTheme="majorBidi" w:cstheme="majorBidi"/>
          <w:bCs/>
          <w:iCs/>
          <w:color w:val="000000"/>
        </w:rPr>
        <w:t xml:space="preserve">%, suite à l’agrandissement de l’usine, pour une masse salariale de 391 millions de FCFA (+18,7%). </w:t>
      </w:r>
    </w:p>
    <w:p w:rsidR="008F715D" w:rsidRPr="00C53033" w:rsidRDefault="008F715D" w:rsidP="008F715D">
      <w:pPr>
        <w:jc w:val="both"/>
        <w:rPr>
          <w:rFonts w:asciiTheme="majorBidi" w:hAnsiTheme="majorBidi" w:cstheme="majorBidi"/>
          <w:bCs/>
          <w:iCs/>
          <w:color w:val="000000"/>
        </w:rPr>
      </w:pPr>
    </w:p>
    <w:p w:rsidR="008F715D" w:rsidRDefault="008F715D" w:rsidP="008F715D">
      <w:pPr>
        <w:rPr>
          <w:rFonts w:asciiTheme="majorBidi" w:hAnsiTheme="majorBidi" w:cstheme="majorBidi"/>
          <w:b/>
          <w:i/>
        </w:rPr>
      </w:pPr>
      <w:r w:rsidRPr="00CB1F5B">
        <w:rPr>
          <w:rFonts w:asciiTheme="majorBidi" w:hAnsiTheme="majorBidi" w:cstheme="majorBidi"/>
          <w:b/>
          <w:i/>
        </w:rPr>
        <w:t>Evolution de l’activité de l’eau minérale</w:t>
      </w:r>
    </w:p>
    <w:tbl>
      <w:tblPr>
        <w:tblW w:w="9087" w:type="dxa"/>
        <w:tblInd w:w="55" w:type="dxa"/>
        <w:tblLayout w:type="fixed"/>
        <w:tblCellMar>
          <w:left w:w="70" w:type="dxa"/>
          <w:right w:w="70" w:type="dxa"/>
        </w:tblCellMar>
        <w:tblLook w:val="04A0"/>
      </w:tblPr>
      <w:tblGrid>
        <w:gridCol w:w="4840"/>
        <w:gridCol w:w="1415"/>
        <w:gridCol w:w="1416"/>
        <w:gridCol w:w="1416"/>
      </w:tblGrid>
      <w:tr w:rsidR="008F715D" w:rsidRPr="00FC44A1"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FC44A1" w:rsidRDefault="008F715D" w:rsidP="002105A0">
            <w:pPr>
              <w:rPr>
                <w:color w:val="000000"/>
              </w:rPr>
            </w:pPr>
          </w:p>
        </w:tc>
        <w:tc>
          <w:tcPr>
            <w:tcW w:w="4247"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rPr>
                <w:color w:val="000000"/>
              </w:rPr>
            </w:pPr>
            <w:r w:rsidRPr="00FC44A1">
              <w:rPr>
                <w:color w:val="000000"/>
                <w:sz w:val="22"/>
                <w:szCs w:val="22"/>
              </w:rPr>
              <w:t>Premier semestre</w:t>
            </w:r>
          </w:p>
        </w:tc>
      </w:tr>
      <w:tr w:rsidR="008F715D" w:rsidRPr="00FC44A1"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FC44A1" w:rsidRDefault="008F715D" w:rsidP="002105A0">
            <w:pPr>
              <w:rPr>
                <w:color w:val="000000"/>
              </w:rPr>
            </w:pPr>
            <w:r w:rsidRPr="00FC44A1">
              <w:rPr>
                <w:color w:val="000000"/>
                <w:sz w:val="22"/>
                <w:szCs w:val="22"/>
              </w:rPr>
              <w:t> </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rPr>
                <w:color w:val="000000"/>
              </w:rPr>
            </w:pPr>
            <w:r w:rsidRPr="00FC44A1">
              <w:rPr>
                <w:color w:val="000000"/>
                <w:sz w:val="22"/>
                <w:szCs w:val="22"/>
              </w:rPr>
              <w:t>2015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rPr>
                <w:color w:val="000000"/>
              </w:rPr>
            </w:pPr>
            <w:r w:rsidRPr="00FC44A1">
              <w:rPr>
                <w:color w:val="000000"/>
                <w:sz w:val="22"/>
                <w:szCs w:val="22"/>
              </w:rPr>
              <w:t>2016</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pPr>
            <w:r w:rsidRPr="00FC44A1">
              <w:rPr>
                <w:sz w:val="22"/>
                <w:szCs w:val="22"/>
              </w:rPr>
              <w:t>Var 16/15</w:t>
            </w:r>
          </w:p>
        </w:tc>
      </w:tr>
      <w:tr w:rsidR="008F715D" w:rsidRPr="00FC44A1"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FC44A1" w:rsidRDefault="008F715D" w:rsidP="002105A0">
            <w:pPr>
              <w:rPr>
                <w:color w:val="000000"/>
              </w:rPr>
            </w:pPr>
            <w:r w:rsidRPr="00FC44A1">
              <w:rPr>
                <w:color w:val="000000"/>
                <w:sz w:val="22"/>
                <w:szCs w:val="22"/>
              </w:rPr>
              <w:t>Production</w:t>
            </w:r>
            <w:r w:rsidRPr="00FC44A1">
              <w:rPr>
                <w:sz w:val="22"/>
                <w:szCs w:val="22"/>
              </w:rPr>
              <w:t xml:space="preserve">  d’eau</w:t>
            </w:r>
            <w:r w:rsidRPr="00FC44A1">
              <w:rPr>
                <w:color w:val="000000"/>
                <w:sz w:val="22"/>
                <w:szCs w:val="22"/>
              </w:rPr>
              <w:t xml:space="preserve"> (en hectolitres)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pPr>
            <w:r w:rsidRPr="00FC44A1">
              <w:rPr>
                <w:sz w:val="22"/>
                <w:szCs w:val="22"/>
              </w:rPr>
              <w:t>338 785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pPr>
            <w:r w:rsidRPr="00FC44A1">
              <w:rPr>
                <w:sz w:val="22"/>
                <w:szCs w:val="22"/>
              </w:rPr>
              <w:t>352 781</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pPr>
            <w:r w:rsidRPr="00FC44A1">
              <w:rPr>
                <w:sz w:val="22"/>
                <w:szCs w:val="22"/>
              </w:rPr>
              <w:t>4,1%</w:t>
            </w:r>
          </w:p>
        </w:tc>
      </w:tr>
      <w:tr w:rsidR="008F715D" w:rsidRPr="00FC44A1"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FC44A1" w:rsidRDefault="008F715D" w:rsidP="002105A0">
            <w:r w:rsidRPr="00FC44A1">
              <w:rPr>
                <w:sz w:val="22"/>
                <w:szCs w:val="22"/>
              </w:rPr>
              <w:t>Chiffre d’affaires (en millions de FCFA)</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pPr>
            <w:r w:rsidRPr="00FC44A1">
              <w:rPr>
                <w:sz w:val="22"/>
                <w:szCs w:val="22"/>
              </w:rPr>
              <w:t>7 130</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pPr>
            <w:r w:rsidRPr="00FC44A1">
              <w:rPr>
                <w:sz w:val="22"/>
                <w:szCs w:val="22"/>
              </w:rPr>
              <w:t>7 527</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pPr>
            <w:r w:rsidRPr="00FC44A1">
              <w:rPr>
                <w:sz w:val="22"/>
                <w:szCs w:val="22"/>
              </w:rPr>
              <w:t>5,6%</w:t>
            </w:r>
          </w:p>
        </w:tc>
      </w:tr>
      <w:tr w:rsidR="008F715D" w:rsidRPr="00FC44A1"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FC44A1" w:rsidRDefault="008F715D" w:rsidP="002105A0">
            <w:r w:rsidRPr="00FC44A1">
              <w:rPr>
                <w:sz w:val="22"/>
                <w:szCs w:val="22"/>
              </w:rPr>
              <w:t>Effectifs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pPr>
            <w:r w:rsidRPr="00FC44A1">
              <w:rPr>
                <w:sz w:val="22"/>
                <w:szCs w:val="22"/>
              </w:rPr>
              <w:t>55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pPr>
            <w:r w:rsidRPr="00FC44A1">
              <w:rPr>
                <w:sz w:val="22"/>
                <w:szCs w:val="22"/>
              </w:rPr>
              <w:t>66</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pPr>
            <w:r w:rsidRPr="00FC44A1">
              <w:rPr>
                <w:sz w:val="22"/>
                <w:szCs w:val="22"/>
              </w:rPr>
              <w:t>20,0%</w:t>
            </w:r>
          </w:p>
        </w:tc>
      </w:tr>
      <w:tr w:rsidR="008F715D" w:rsidRPr="00FC44A1"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FC44A1" w:rsidRDefault="008F715D" w:rsidP="002105A0">
            <w:r w:rsidRPr="00FC44A1">
              <w:rPr>
                <w:sz w:val="22"/>
                <w:szCs w:val="22"/>
              </w:rPr>
              <w:t>Masse salariale</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pPr>
            <w:r w:rsidRPr="00FC44A1">
              <w:rPr>
                <w:sz w:val="22"/>
                <w:szCs w:val="22"/>
              </w:rPr>
              <w:t>330</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pPr>
            <w:r w:rsidRPr="00FC44A1">
              <w:rPr>
                <w:sz w:val="22"/>
                <w:szCs w:val="22"/>
              </w:rPr>
              <w:t>391</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FC44A1" w:rsidRDefault="008F715D" w:rsidP="002105A0">
            <w:pPr>
              <w:jc w:val="center"/>
            </w:pPr>
            <w:r w:rsidRPr="00FC44A1">
              <w:rPr>
                <w:sz w:val="22"/>
                <w:szCs w:val="22"/>
              </w:rPr>
              <w:t>18,7%</w:t>
            </w:r>
          </w:p>
        </w:tc>
      </w:tr>
    </w:tbl>
    <w:p w:rsidR="008F715D" w:rsidRPr="00651D8E" w:rsidRDefault="008F715D" w:rsidP="008F715D">
      <w:pPr>
        <w:autoSpaceDE w:val="0"/>
        <w:autoSpaceDN w:val="0"/>
        <w:adjustRightInd w:val="0"/>
        <w:jc w:val="both"/>
        <w:rPr>
          <w:rFonts w:asciiTheme="majorBidi" w:hAnsiTheme="majorBidi" w:cstheme="majorBidi"/>
          <w:b/>
          <w:bCs/>
          <w:i/>
          <w:iCs/>
          <w:sz w:val="16"/>
          <w:szCs w:val="16"/>
        </w:rPr>
      </w:pPr>
      <w:r w:rsidRPr="00651D8E">
        <w:rPr>
          <w:rFonts w:asciiTheme="majorBidi" w:hAnsiTheme="majorBidi" w:cstheme="majorBidi"/>
          <w:b/>
          <w:bCs/>
          <w:i/>
          <w:iCs/>
          <w:sz w:val="16"/>
          <w:szCs w:val="16"/>
        </w:rPr>
        <w:t>Source : Soboléco</w:t>
      </w:r>
    </w:p>
    <w:p w:rsidR="008F715D" w:rsidRDefault="008F715D" w:rsidP="008F715D">
      <w:pPr>
        <w:rPr>
          <w:rFonts w:asciiTheme="majorBidi" w:hAnsiTheme="majorBidi" w:cstheme="majorBidi"/>
        </w:rPr>
      </w:pPr>
    </w:p>
    <w:p w:rsidR="008F715D" w:rsidRDefault="008F715D" w:rsidP="008F715D">
      <w:pPr>
        <w:pStyle w:val="Titre2"/>
        <w:rPr>
          <w:b/>
          <w:bCs/>
          <w:i w:val="0"/>
          <w:color w:val="0000FF"/>
          <w:sz w:val="24"/>
        </w:rPr>
      </w:pPr>
      <w:bookmarkStart w:id="85" w:name="_Toc436475062"/>
      <w:bookmarkStart w:id="86" w:name="_Toc462990821"/>
      <w:r w:rsidRPr="00F23C9D">
        <w:rPr>
          <w:b/>
          <w:bCs/>
          <w:i w:val="0"/>
          <w:color w:val="0000FF"/>
          <w:sz w:val="24"/>
        </w:rPr>
        <w:t>II.</w:t>
      </w:r>
      <w:r>
        <w:rPr>
          <w:b/>
          <w:bCs/>
          <w:i w:val="0"/>
          <w:color w:val="0000FF"/>
          <w:sz w:val="24"/>
        </w:rPr>
        <w:t>8</w:t>
      </w:r>
      <w:r w:rsidRPr="00F23C9D">
        <w:rPr>
          <w:b/>
          <w:bCs/>
          <w:i w:val="0"/>
          <w:color w:val="0000FF"/>
          <w:sz w:val="24"/>
        </w:rPr>
        <w:t>.</w:t>
      </w:r>
      <w:r>
        <w:rPr>
          <w:b/>
          <w:bCs/>
          <w:i w:val="0"/>
          <w:color w:val="0000FF"/>
          <w:sz w:val="24"/>
        </w:rPr>
        <w:t xml:space="preserve"> </w:t>
      </w:r>
      <w:r w:rsidRPr="00F23C9D">
        <w:rPr>
          <w:b/>
          <w:bCs/>
          <w:i w:val="0"/>
          <w:color w:val="0000FF"/>
          <w:sz w:val="24"/>
        </w:rPr>
        <w:t xml:space="preserve">LES INDUSTRIES </w:t>
      </w:r>
      <w:r>
        <w:rPr>
          <w:b/>
          <w:bCs/>
          <w:i w:val="0"/>
          <w:color w:val="0000FF"/>
          <w:sz w:val="24"/>
        </w:rPr>
        <w:t>DU BOIS</w:t>
      </w:r>
      <w:bookmarkEnd w:id="85"/>
      <w:bookmarkEnd w:id="86"/>
    </w:p>
    <w:p w:rsidR="008F715D" w:rsidRPr="00E34E43" w:rsidRDefault="008F715D" w:rsidP="008F715D"/>
    <w:p w:rsidR="008F715D" w:rsidRPr="004B14A6" w:rsidRDefault="008F715D" w:rsidP="008F715D">
      <w:pPr>
        <w:jc w:val="both"/>
        <w:rPr>
          <w:rFonts w:asciiTheme="majorBidi" w:hAnsiTheme="majorBidi" w:cstheme="majorBidi"/>
        </w:rPr>
      </w:pPr>
      <w:r w:rsidRPr="004B14A6">
        <w:rPr>
          <w:rFonts w:asciiTheme="majorBidi" w:hAnsiTheme="majorBidi" w:cstheme="majorBidi"/>
        </w:rPr>
        <w:t>A fin juin 2016, les industries du bois ont consolidé leurs performances enregistrées en début d’année. Ainsi, la production totale, tous segments confondus, s’est améliorée de 13,2% pour s’établir à 370 878 m</w:t>
      </w:r>
      <w:r w:rsidRPr="004B14A6">
        <w:rPr>
          <w:rFonts w:asciiTheme="majorBidi" w:hAnsiTheme="majorBidi" w:cstheme="majorBidi"/>
          <w:vertAlign w:val="superscript"/>
        </w:rPr>
        <w:t>3</w:t>
      </w:r>
      <w:r w:rsidRPr="004B14A6">
        <w:rPr>
          <w:rFonts w:asciiTheme="majorBidi" w:hAnsiTheme="majorBidi" w:cstheme="majorBidi"/>
        </w:rPr>
        <w:t xml:space="preserve">, favorisée par l’approvisionnement régulier des unités de transformation en grumes et la demande soutenue des marchés extérieurs. </w:t>
      </w:r>
    </w:p>
    <w:p w:rsidR="008F715D" w:rsidRPr="004B14A6" w:rsidRDefault="008F715D" w:rsidP="008F715D">
      <w:pPr>
        <w:jc w:val="both"/>
        <w:rPr>
          <w:rFonts w:asciiTheme="majorBidi" w:hAnsiTheme="majorBidi" w:cstheme="majorBidi"/>
        </w:rPr>
      </w:pPr>
    </w:p>
    <w:p w:rsidR="008F715D" w:rsidRPr="003C4E0C" w:rsidRDefault="008F715D" w:rsidP="008F715D">
      <w:pPr>
        <w:jc w:val="both"/>
        <w:rPr>
          <w:rFonts w:asciiTheme="majorBidi" w:hAnsiTheme="majorBidi" w:cstheme="majorBidi"/>
        </w:rPr>
      </w:pPr>
      <w:r w:rsidRPr="004B14A6">
        <w:rPr>
          <w:rFonts w:asciiTheme="majorBidi" w:hAnsiTheme="majorBidi" w:cstheme="majorBidi"/>
        </w:rPr>
        <w:t xml:space="preserve">Sur le plan commercial, les ventes locales ont diminué de 7,9% en raison de la faiblesse des commandes du marché domestique notamment en matière de contreplaqué. A l’inverse, les </w:t>
      </w:r>
      <w:r w:rsidRPr="004B14A6">
        <w:rPr>
          <w:rFonts w:asciiTheme="majorBidi" w:hAnsiTheme="majorBidi" w:cstheme="majorBidi"/>
        </w:rPr>
        <w:lastRenderedPageBreak/>
        <w:t>exportations ont progressé de 19,5% passant à 324 810 m</w:t>
      </w:r>
      <w:r w:rsidRPr="004B14A6">
        <w:rPr>
          <w:rFonts w:asciiTheme="majorBidi" w:hAnsiTheme="majorBidi" w:cstheme="majorBidi"/>
          <w:vertAlign w:val="superscript"/>
        </w:rPr>
        <w:t>3</w:t>
      </w:r>
      <w:r w:rsidRPr="004B14A6">
        <w:rPr>
          <w:rFonts w:asciiTheme="majorBidi" w:hAnsiTheme="majorBidi" w:cstheme="majorBidi"/>
        </w:rPr>
        <w:t>, en liaison avec la vitalité du</w:t>
      </w:r>
      <w:r w:rsidRPr="003C4E0C">
        <w:rPr>
          <w:rFonts w:asciiTheme="majorBidi" w:hAnsiTheme="majorBidi" w:cstheme="majorBidi"/>
        </w:rPr>
        <w:t xml:space="preserve"> marché international.</w:t>
      </w:r>
    </w:p>
    <w:p w:rsidR="008F715D" w:rsidRDefault="008F715D" w:rsidP="008F715D">
      <w:pPr>
        <w:jc w:val="both"/>
        <w:rPr>
          <w:rFonts w:asciiTheme="majorBidi" w:hAnsiTheme="majorBidi" w:cstheme="majorBidi"/>
        </w:rPr>
      </w:pPr>
    </w:p>
    <w:p w:rsidR="008F715D" w:rsidRPr="003C4E0C" w:rsidRDefault="008F715D" w:rsidP="008F715D">
      <w:pPr>
        <w:jc w:val="both"/>
        <w:rPr>
          <w:rFonts w:asciiTheme="majorBidi" w:hAnsiTheme="majorBidi" w:cstheme="majorBidi"/>
        </w:rPr>
      </w:pPr>
    </w:p>
    <w:p w:rsidR="008F715D" w:rsidRPr="003C4E0C" w:rsidRDefault="008F715D" w:rsidP="008F715D">
      <w:pPr>
        <w:rPr>
          <w:b/>
          <w:bCs/>
          <w:i/>
          <w:iCs/>
          <w:color w:val="000000"/>
          <w:szCs w:val="28"/>
        </w:rPr>
      </w:pPr>
      <w:r w:rsidRPr="003C4E0C">
        <w:rPr>
          <w:b/>
          <w:bCs/>
          <w:i/>
          <w:iCs/>
          <w:color w:val="000000"/>
          <w:szCs w:val="28"/>
        </w:rPr>
        <w:t>Evolution de l’activité de production des industries du bois</w:t>
      </w:r>
    </w:p>
    <w:tbl>
      <w:tblPr>
        <w:tblW w:w="8946" w:type="dxa"/>
        <w:tblInd w:w="55" w:type="dxa"/>
        <w:tblLayout w:type="fixed"/>
        <w:tblCellMar>
          <w:left w:w="70" w:type="dxa"/>
          <w:right w:w="70" w:type="dxa"/>
        </w:tblCellMar>
        <w:tblLook w:val="04A0"/>
      </w:tblPr>
      <w:tblGrid>
        <w:gridCol w:w="4840"/>
        <w:gridCol w:w="1368"/>
        <w:gridCol w:w="1369"/>
        <w:gridCol w:w="1369"/>
      </w:tblGrid>
      <w:tr w:rsidR="008F715D" w:rsidRPr="00CA3A79"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3C4E0C" w:rsidRDefault="008F715D" w:rsidP="002105A0">
            <w:pPr>
              <w:rPr>
                <w:color w:val="000000"/>
              </w:rPr>
            </w:pPr>
            <w:r w:rsidRPr="003C4E0C">
              <w:rPr>
                <w:color w:val="000000"/>
                <w:sz w:val="22"/>
                <w:szCs w:val="22"/>
              </w:rPr>
              <w:t>(en m3)</w:t>
            </w:r>
          </w:p>
        </w:tc>
        <w:tc>
          <w:tcPr>
            <w:tcW w:w="4106"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CA3A79" w:rsidRDefault="008F715D" w:rsidP="002105A0">
            <w:pPr>
              <w:jc w:val="center"/>
              <w:rPr>
                <w:color w:val="000000"/>
              </w:rPr>
            </w:pPr>
            <w:r w:rsidRPr="003C4E0C">
              <w:rPr>
                <w:color w:val="000000"/>
                <w:sz w:val="22"/>
                <w:szCs w:val="22"/>
              </w:rPr>
              <w:t>Premier semestre</w:t>
            </w:r>
          </w:p>
        </w:tc>
      </w:tr>
      <w:tr w:rsidR="008F715D" w:rsidRPr="00CA3A79"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A3A79" w:rsidRDefault="008F715D" w:rsidP="002105A0">
            <w:pPr>
              <w:rPr>
                <w:color w:val="000000"/>
              </w:rPr>
            </w:pPr>
            <w:r w:rsidRPr="00CA3A79">
              <w:rPr>
                <w:color w:val="000000"/>
                <w:sz w:val="22"/>
                <w:szCs w:val="22"/>
              </w:rPr>
              <w:t>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CA3A79" w:rsidRDefault="008F715D" w:rsidP="002105A0">
            <w:pPr>
              <w:jc w:val="center"/>
              <w:rPr>
                <w:color w:val="000000"/>
              </w:rPr>
            </w:pPr>
            <w:r w:rsidRPr="00CA3A79">
              <w:rPr>
                <w:color w:val="000000"/>
                <w:sz w:val="22"/>
                <w:szCs w:val="22"/>
              </w:rPr>
              <w:t>2015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CA3A79" w:rsidRDefault="008F715D" w:rsidP="002105A0">
            <w:pPr>
              <w:jc w:val="center"/>
              <w:rPr>
                <w:color w:val="000000"/>
              </w:rPr>
            </w:pPr>
            <w:r w:rsidRPr="00CA3A79">
              <w:rPr>
                <w:color w:val="000000"/>
                <w:sz w:val="22"/>
                <w:szCs w:val="22"/>
              </w:rPr>
              <w:t>2016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CA3A79" w:rsidRDefault="008F715D" w:rsidP="002105A0">
            <w:pPr>
              <w:jc w:val="center"/>
            </w:pPr>
            <w:r w:rsidRPr="00CA3A79">
              <w:rPr>
                <w:sz w:val="22"/>
                <w:szCs w:val="22"/>
              </w:rPr>
              <w:t>Var 16/15</w:t>
            </w:r>
          </w:p>
        </w:tc>
      </w:tr>
      <w:tr w:rsidR="008F715D" w:rsidRPr="00CA3A79"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A3A79" w:rsidRDefault="008F715D" w:rsidP="002105A0">
            <w:pPr>
              <w:rPr>
                <w:color w:val="000000"/>
              </w:rPr>
            </w:pPr>
            <w:r w:rsidRPr="00CA3A79">
              <w:rPr>
                <w:color w:val="000000"/>
                <w:sz w:val="22"/>
                <w:szCs w:val="22"/>
              </w:rPr>
              <w:t>Production</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CA3A79" w:rsidRDefault="008F715D" w:rsidP="002105A0">
            <w:pPr>
              <w:jc w:val="center"/>
            </w:pPr>
            <w:r w:rsidRPr="00CA3A79">
              <w:rPr>
                <w:sz w:val="22"/>
                <w:szCs w:val="22"/>
              </w:rPr>
              <w:t>327 577</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CA3A79" w:rsidRDefault="008F715D" w:rsidP="002105A0">
            <w:pPr>
              <w:jc w:val="center"/>
            </w:pPr>
            <w:r w:rsidRPr="00CA3A79">
              <w:rPr>
                <w:sz w:val="22"/>
                <w:szCs w:val="22"/>
              </w:rPr>
              <w:t>370 878</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CA3A79" w:rsidRDefault="008F715D" w:rsidP="002105A0">
            <w:pPr>
              <w:jc w:val="center"/>
            </w:pPr>
            <w:r w:rsidRPr="00CA3A79">
              <w:rPr>
                <w:sz w:val="22"/>
                <w:szCs w:val="22"/>
              </w:rPr>
              <w:t>13,2%</w:t>
            </w:r>
          </w:p>
        </w:tc>
      </w:tr>
      <w:tr w:rsidR="008F715D" w:rsidRPr="00CA3A79"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A3A79" w:rsidRDefault="008F715D" w:rsidP="002105A0">
            <w:pPr>
              <w:rPr>
                <w:color w:val="000000"/>
              </w:rPr>
            </w:pPr>
            <w:r w:rsidRPr="00CA3A79">
              <w:rPr>
                <w:color w:val="000000"/>
                <w:sz w:val="22"/>
                <w:szCs w:val="22"/>
              </w:rPr>
              <w:t>Ventes locales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CA3A79" w:rsidRDefault="008F715D" w:rsidP="002105A0">
            <w:pPr>
              <w:jc w:val="center"/>
            </w:pPr>
            <w:r w:rsidRPr="00CA3A79">
              <w:rPr>
                <w:sz w:val="22"/>
                <w:szCs w:val="22"/>
              </w:rPr>
              <w:t>19 601</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CA3A79" w:rsidRDefault="008F715D" w:rsidP="002105A0">
            <w:pPr>
              <w:jc w:val="center"/>
            </w:pPr>
            <w:r w:rsidRPr="00CA3A79">
              <w:rPr>
                <w:sz w:val="22"/>
                <w:szCs w:val="22"/>
              </w:rPr>
              <w:t>18 050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CA3A79" w:rsidRDefault="008F715D" w:rsidP="002105A0">
            <w:pPr>
              <w:jc w:val="center"/>
              <w:rPr>
                <w:color w:val="FF0000"/>
              </w:rPr>
            </w:pPr>
            <w:r w:rsidRPr="00CA3A79">
              <w:rPr>
                <w:color w:val="FF0000"/>
                <w:sz w:val="22"/>
                <w:szCs w:val="22"/>
              </w:rPr>
              <w:t>-7,9%</w:t>
            </w:r>
          </w:p>
        </w:tc>
      </w:tr>
      <w:tr w:rsidR="008F715D" w:rsidRPr="00CA3A79"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A3A79" w:rsidRDefault="008F715D" w:rsidP="002105A0">
            <w:pPr>
              <w:rPr>
                <w:color w:val="000000"/>
              </w:rPr>
            </w:pPr>
            <w:r w:rsidRPr="00CA3A79">
              <w:rPr>
                <w:color w:val="000000"/>
                <w:sz w:val="22"/>
                <w:szCs w:val="22"/>
              </w:rPr>
              <w:t>Exportations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CA3A79" w:rsidRDefault="008F715D" w:rsidP="002105A0">
            <w:pPr>
              <w:jc w:val="center"/>
            </w:pPr>
            <w:r w:rsidRPr="00CA3A79">
              <w:rPr>
                <w:sz w:val="22"/>
                <w:szCs w:val="22"/>
              </w:rPr>
              <w:t>271 792</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CA3A79" w:rsidRDefault="008F715D" w:rsidP="002105A0">
            <w:pPr>
              <w:jc w:val="center"/>
            </w:pPr>
            <w:r w:rsidRPr="00CA3A79">
              <w:rPr>
                <w:sz w:val="22"/>
                <w:szCs w:val="22"/>
              </w:rPr>
              <w:t>324 810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CA3A79" w:rsidRDefault="008F715D" w:rsidP="002105A0">
            <w:pPr>
              <w:jc w:val="center"/>
            </w:pPr>
            <w:r w:rsidRPr="00CA3A79">
              <w:rPr>
                <w:sz w:val="22"/>
                <w:szCs w:val="22"/>
              </w:rPr>
              <w:t>19,5%</w:t>
            </w:r>
          </w:p>
        </w:tc>
      </w:tr>
    </w:tbl>
    <w:p w:rsidR="008F715D" w:rsidRPr="007116FD" w:rsidRDefault="008F715D" w:rsidP="008F715D">
      <w:pPr>
        <w:rPr>
          <w:b/>
          <w:i/>
        </w:rPr>
      </w:pPr>
      <w:r w:rsidRPr="00E278AC">
        <w:rPr>
          <w:b/>
          <w:bCs/>
          <w:i/>
          <w:iCs/>
          <w:sz w:val="16"/>
          <w:szCs w:val="16"/>
        </w:rPr>
        <w:t>Sources: DICB, échantillon des entreprises du secteur</w:t>
      </w:r>
    </w:p>
    <w:p w:rsidR="008F715D" w:rsidRDefault="008F715D" w:rsidP="008F715D">
      <w:pPr>
        <w:rPr>
          <w:rFonts w:asciiTheme="majorBidi" w:hAnsiTheme="majorBidi" w:cstheme="majorBidi"/>
        </w:rPr>
      </w:pPr>
    </w:p>
    <w:p w:rsidR="008F715D" w:rsidRPr="000951CA" w:rsidRDefault="008F715D" w:rsidP="008F715D">
      <w:pPr>
        <w:pStyle w:val="Titre3"/>
        <w:ind w:right="0" w:firstLine="0"/>
        <w:rPr>
          <w:b/>
          <w:bCs/>
          <w:i/>
          <w:iCs/>
          <w:color w:val="0000FF"/>
          <w:sz w:val="24"/>
        </w:rPr>
      </w:pPr>
      <w:bookmarkStart w:id="87" w:name="_Toc436475063"/>
      <w:bookmarkStart w:id="88" w:name="_Toc462990822"/>
      <w:r w:rsidRPr="00E510AF">
        <w:rPr>
          <w:b/>
          <w:bCs/>
          <w:i/>
          <w:iCs/>
          <w:color w:val="0000FF"/>
          <w:sz w:val="24"/>
        </w:rPr>
        <w:t>II.</w:t>
      </w:r>
      <w:r>
        <w:rPr>
          <w:b/>
          <w:bCs/>
          <w:i/>
          <w:iCs/>
          <w:color w:val="0000FF"/>
          <w:sz w:val="24"/>
        </w:rPr>
        <w:t>8</w:t>
      </w:r>
      <w:r w:rsidRPr="00E510AF">
        <w:rPr>
          <w:b/>
          <w:bCs/>
          <w:i/>
          <w:iCs/>
          <w:color w:val="0000FF"/>
          <w:sz w:val="24"/>
        </w:rPr>
        <w:t xml:space="preserve">.1. </w:t>
      </w:r>
      <w:r w:rsidRPr="000951CA">
        <w:rPr>
          <w:b/>
          <w:bCs/>
          <w:i/>
          <w:iCs/>
          <w:color w:val="0000FF"/>
          <w:sz w:val="24"/>
        </w:rPr>
        <w:t>Les unités de sciage</w:t>
      </w:r>
      <w:bookmarkEnd w:id="87"/>
      <w:bookmarkEnd w:id="88"/>
    </w:p>
    <w:p w:rsidR="008F715D" w:rsidRDefault="008F715D" w:rsidP="008F715D">
      <w:pPr>
        <w:jc w:val="both"/>
      </w:pPr>
    </w:p>
    <w:p w:rsidR="008F715D" w:rsidRPr="00214EB3" w:rsidRDefault="008F715D" w:rsidP="008F715D">
      <w:pPr>
        <w:jc w:val="both"/>
        <w:rPr>
          <w:rFonts w:asciiTheme="majorBidi" w:hAnsiTheme="majorBidi" w:cstheme="majorBidi"/>
        </w:rPr>
      </w:pPr>
      <w:r w:rsidRPr="00214EB3">
        <w:rPr>
          <w:rFonts w:asciiTheme="majorBidi" w:hAnsiTheme="majorBidi" w:cstheme="majorBidi"/>
        </w:rPr>
        <w:t>A</w:t>
      </w:r>
      <w:r>
        <w:rPr>
          <w:rFonts w:asciiTheme="majorBidi" w:hAnsiTheme="majorBidi" w:cstheme="majorBidi"/>
        </w:rPr>
        <w:t>u cours des six premiers mois de 2016, les unités de sciages ont connu un raffermissement de leur activité, tant sur le</w:t>
      </w:r>
      <w:r w:rsidRPr="00214EB3">
        <w:rPr>
          <w:rFonts w:asciiTheme="majorBidi" w:hAnsiTheme="majorBidi" w:cstheme="majorBidi"/>
        </w:rPr>
        <w:t xml:space="preserve"> plan industriel </w:t>
      </w:r>
      <w:r>
        <w:rPr>
          <w:rFonts w:asciiTheme="majorBidi" w:hAnsiTheme="majorBidi" w:cstheme="majorBidi"/>
        </w:rPr>
        <w:t>que</w:t>
      </w:r>
      <w:r w:rsidRPr="00214EB3">
        <w:rPr>
          <w:rFonts w:asciiTheme="majorBidi" w:hAnsiTheme="majorBidi" w:cstheme="majorBidi"/>
        </w:rPr>
        <w:t xml:space="preserve"> commercial.</w:t>
      </w:r>
      <w:r>
        <w:rPr>
          <w:rFonts w:asciiTheme="majorBidi" w:hAnsiTheme="majorBidi" w:cstheme="majorBidi"/>
        </w:rPr>
        <w:t xml:space="preserve"> </w:t>
      </w:r>
      <w:r w:rsidRPr="00214EB3">
        <w:rPr>
          <w:rFonts w:asciiTheme="majorBidi" w:hAnsiTheme="majorBidi" w:cstheme="majorBidi"/>
        </w:rPr>
        <w:t xml:space="preserve">En effet, la production </w:t>
      </w:r>
      <w:r>
        <w:rPr>
          <w:rFonts w:asciiTheme="majorBidi" w:hAnsiTheme="majorBidi" w:cstheme="majorBidi"/>
        </w:rPr>
        <w:t xml:space="preserve">des bois sciés </w:t>
      </w:r>
      <w:r w:rsidRPr="00214EB3">
        <w:rPr>
          <w:rFonts w:asciiTheme="majorBidi" w:hAnsiTheme="majorBidi" w:cstheme="majorBidi"/>
        </w:rPr>
        <w:t>est passée de 207</w:t>
      </w:r>
      <w:r>
        <w:rPr>
          <w:rFonts w:asciiTheme="majorBidi" w:hAnsiTheme="majorBidi" w:cstheme="majorBidi"/>
        </w:rPr>
        <w:t> </w:t>
      </w:r>
      <w:r w:rsidRPr="00214EB3">
        <w:rPr>
          <w:rFonts w:asciiTheme="majorBidi" w:hAnsiTheme="majorBidi" w:cstheme="majorBidi"/>
        </w:rPr>
        <w:t>350</w:t>
      </w:r>
      <w:r>
        <w:rPr>
          <w:rFonts w:asciiTheme="majorBidi" w:hAnsiTheme="majorBidi" w:cstheme="majorBidi"/>
        </w:rPr>
        <w:t xml:space="preserve"> m</w:t>
      </w:r>
      <w:r w:rsidRPr="003F3C8B">
        <w:rPr>
          <w:rFonts w:asciiTheme="majorBidi" w:hAnsiTheme="majorBidi" w:cstheme="majorBidi"/>
          <w:vertAlign w:val="superscript"/>
        </w:rPr>
        <w:t>3</w:t>
      </w:r>
      <w:r>
        <w:rPr>
          <w:rFonts w:asciiTheme="majorBidi" w:hAnsiTheme="majorBidi" w:cstheme="majorBidi"/>
        </w:rPr>
        <w:t xml:space="preserve"> </w:t>
      </w:r>
      <w:r w:rsidRPr="00214EB3">
        <w:rPr>
          <w:rFonts w:asciiTheme="majorBidi" w:hAnsiTheme="majorBidi" w:cstheme="majorBidi"/>
        </w:rPr>
        <w:t>à 227</w:t>
      </w:r>
      <w:r>
        <w:rPr>
          <w:rFonts w:asciiTheme="majorBidi" w:hAnsiTheme="majorBidi" w:cstheme="majorBidi"/>
        </w:rPr>
        <w:t> </w:t>
      </w:r>
      <w:r w:rsidRPr="00214EB3">
        <w:rPr>
          <w:rFonts w:asciiTheme="majorBidi" w:hAnsiTheme="majorBidi" w:cstheme="majorBidi"/>
        </w:rPr>
        <w:t>905</w:t>
      </w:r>
      <w:r>
        <w:rPr>
          <w:rFonts w:asciiTheme="majorBidi" w:hAnsiTheme="majorBidi" w:cstheme="majorBidi"/>
        </w:rPr>
        <w:t xml:space="preserve"> </w:t>
      </w:r>
      <w:r w:rsidRPr="00214EB3">
        <w:rPr>
          <w:rFonts w:asciiTheme="majorBidi" w:hAnsiTheme="majorBidi" w:cstheme="majorBidi"/>
        </w:rPr>
        <w:t>m</w:t>
      </w:r>
      <w:r w:rsidRPr="00855D88">
        <w:rPr>
          <w:rFonts w:asciiTheme="majorBidi" w:hAnsiTheme="majorBidi" w:cstheme="majorBidi"/>
          <w:vertAlign w:val="superscript"/>
        </w:rPr>
        <w:t>3</w:t>
      </w:r>
      <w:r>
        <w:rPr>
          <w:rFonts w:asciiTheme="majorBidi" w:hAnsiTheme="majorBidi" w:cstheme="majorBidi"/>
        </w:rPr>
        <w:t>,</w:t>
      </w:r>
      <w:r w:rsidRPr="00214EB3">
        <w:rPr>
          <w:rFonts w:asciiTheme="majorBidi" w:hAnsiTheme="majorBidi" w:cstheme="majorBidi"/>
        </w:rPr>
        <w:t xml:space="preserve"> soit une hausse de 9,9%. Cette embellie résulte </w:t>
      </w:r>
      <w:r w:rsidRPr="003F3C8B">
        <w:rPr>
          <w:rFonts w:asciiTheme="majorBidi" w:hAnsiTheme="majorBidi" w:cstheme="majorBidi"/>
        </w:rPr>
        <w:t xml:space="preserve">de la montée en puissance des unités nouvellement installées et </w:t>
      </w:r>
      <w:r w:rsidRPr="00214EB3">
        <w:rPr>
          <w:rFonts w:asciiTheme="majorBidi" w:hAnsiTheme="majorBidi" w:cstheme="majorBidi"/>
        </w:rPr>
        <w:t>d</w:t>
      </w:r>
      <w:r>
        <w:rPr>
          <w:rFonts w:asciiTheme="majorBidi" w:hAnsiTheme="majorBidi" w:cstheme="majorBidi"/>
        </w:rPr>
        <w:t>e l</w:t>
      </w:r>
      <w:r w:rsidRPr="00214EB3">
        <w:rPr>
          <w:rFonts w:asciiTheme="majorBidi" w:hAnsiTheme="majorBidi" w:cstheme="majorBidi"/>
        </w:rPr>
        <w:t xml:space="preserve">’approvisionnement </w:t>
      </w:r>
      <w:r>
        <w:rPr>
          <w:rFonts w:asciiTheme="majorBidi" w:hAnsiTheme="majorBidi" w:cstheme="majorBidi"/>
        </w:rPr>
        <w:t>régulier des unités de transformation</w:t>
      </w:r>
      <w:r w:rsidRPr="00214EB3">
        <w:rPr>
          <w:rFonts w:asciiTheme="majorBidi" w:hAnsiTheme="majorBidi" w:cstheme="majorBidi"/>
        </w:rPr>
        <w:t xml:space="preserve"> en matière première. </w:t>
      </w:r>
    </w:p>
    <w:p w:rsidR="008F715D" w:rsidRDefault="008F715D" w:rsidP="008F715D">
      <w:pPr>
        <w:jc w:val="both"/>
        <w:rPr>
          <w:rFonts w:asciiTheme="majorBidi" w:hAnsiTheme="majorBidi" w:cstheme="majorBidi"/>
        </w:rPr>
      </w:pPr>
    </w:p>
    <w:p w:rsidR="008F715D" w:rsidRPr="00214EB3" w:rsidRDefault="008F715D" w:rsidP="008F715D">
      <w:pPr>
        <w:jc w:val="both"/>
        <w:rPr>
          <w:rFonts w:asciiTheme="majorBidi" w:hAnsiTheme="majorBidi" w:cstheme="majorBidi"/>
        </w:rPr>
      </w:pPr>
      <w:r>
        <w:rPr>
          <w:rFonts w:asciiTheme="majorBidi" w:hAnsiTheme="majorBidi" w:cstheme="majorBidi"/>
        </w:rPr>
        <w:t>Parallèlement, l</w:t>
      </w:r>
      <w:r w:rsidRPr="00214EB3">
        <w:rPr>
          <w:rFonts w:asciiTheme="majorBidi" w:hAnsiTheme="majorBidi" w:cstheme="majorBidi"/>
        </w:rPr>
        <w:t xml:space="preserve">es ventes locales </w:t>
      </w:r>
      <w:r>
        <w:rPr>
          <w:rFonts w:asciiTheme="majorBidi" w:hAnsiTheme="majorBidi" w:cstheme="majorBidi"/>
        </w:rPr>
        <w:t>ont augmenté</w:t>
      </w:r>
      <w:r w:rsidRPr="00214EB3">
        <w:rPr>
          <w:rFonts w:asciiTheme="majorBidi" w:hAnsiTheme="majorBidi" w:cstheme="majorBidi"/>
        </w:rPr>
        <w:t xml:space="preserve"> de 4,7% pour se situer à 15</w:t>
      </w:r>
      <w:r>
        <w:rPr>
          <w:rFonts w:asciiTheme="majorBidi" w:hAnsiTheme="majorBidi" w:cstheme="majorBidi"/>
        </w:rPr>
        <w:t> </w:t>
      </w:r>
      <w:r w:rsidRPr="00214EB3">
        <w:rPr>
          <w:rFonts w:asciiTheme="majorBidi" w:hAnsiTheme="majorBidi" w:cstheme="majorBidi"/>
        </w:rPr>
        <w:t>925 m</w:t>
      </w:r>
      <w:r w:rsidRPr="003F3C8B">
        <w:rPr>
          <w:rFonts w:asciiTheme="majorBidi" w:hAnsiTheme="majorBidi" w:cstheme="majorBidi"/>
          <w:vertAlign w:val="superscript"/>
        </w:rPr>
        <w:t>3</w:t>
      </w:r>
      <w:r>
        <w:rPr>
          <w:rFonts w:asciiTheme="majorBidi" w:hAnsiTheme="majorBidi" w:cstheme="majorBidi"/>
        </w:rPr>
        <w:t xml:space="preserve">, pendant que </w:t>
      </w:r>
      <w:r w:rsidRPr="00214EB3">
        <w:rPr>
          <w:rFonts w:asciiTheme="majorBidi" w:hAnsiTheme="majorBidi" w:cstheme="majorBidi"/>
        </w:rPr>
        <w:t>les exportations progress</w:t>
      </w:r>
      <w:r>
        <w:rPr>
          <w:rFonts w:asciiTheme="majorBidi" w:hAnsiTheme="majorBidi" w:cstheme="majorBidi"/>
        </w:rPr>
        <w:t xml:space="preserve">aient </w:t>
      </w:r>
      <w:r w:rsidRPr="00214EB3">
        <w:rPr>
          <w:rFonts w:asciiTheme="majorBidi" w:hAnsiTheme="majorBidi" w:cstheme="majorBidi"/>
        </w:rPr>
        <w:t>de 16,6% pour atteindre 206</w:t>
      </w:r>
      <w:r>
        <w:rPr>
          <w:rFonts w:asciiTheme="majorBidi" w:hAnsiTheme="majorBidi" w:cstheme="majorBidi"/>
        </w:rPr>
        <w:t> </w:t>
      </w:r>
      <w:r w:rsidRPr="00214EB3">
        <w:rPr>
          <w:rFonts w:asciiTheme="majorBidi" w:hAnsiTheme="majorBidi" w:cstheme="majorBidi"/>
        </w:rPr>
        <w:t>489 m</w:t>
      </w:r>
      <w:r w:rsidRPr="003F3C8B">
        <w:rPr>
          <w:rFonts w:asciiTheme="majorBidi" w:hAnsiTheme="majorBidi" w:cstheme="majorBidi"/>
          <w:vertAlign w:val="superscript"/>
        </w:rPr>
        <w:t>3</w:t>
      </w:r>
      <w:r>
        <w:rPr>
          <w:rFonts w:asciiTheme="majorBidi" w:hAnsiTheme="majorBidi" w:cstheme="majorBidi"/>
        </w:rPr>
        <w:t>,</w:t>
      </w:r>
      <w:r w:rsidRPr="00214EB3">
        <w:rPr>
          <w:rFonts w:asciiTheme="majorBidi" w:hAnsiTheme="majorBidi" w:cstheme="majorBidi"/>
        </w:rPr>
        <w:t xml:space="preserve"> en raison de la vigueur </w:t>
      </w:r>
      <w:r>
        <w:rPr>
          <w:rFonts w:asciiTheme="majorBidi" w:hAnsiTheme="majorBidi" w:cstheme="majorBidi"/>
        </w:rPr>
        <w:t xml:space="preserve">de la demande du marché domestique et </w:t>
      </w:r>
      <w:r w:rsidRPr="00214EB3">
        <w:rPr>
          <w:rFonts w:asciiTheme="majorBidi" w:hAnsiTheme="majorBidi" w:cstheme="majorBidi"/>
        </w:rPr>
        <w:t>du marché international de sciage.</w:t>
      </w:r>
    </w:p>
    <w:p w:rsidR="008F715D" w:rsidRPr="002223A1" w:rsidRDefault="008F715D" w:rsidP="008F715D">
      <w:pPr>
        <w:jc w:val="both"/>
        <w:rPr>
          <w:rFonts w:asciiTheme="majorBidi" w:eastAsia="SimSun" w:hAnsiTheme="majorBidi" w:cstheme="majorBidi"/>
        </w:rPr>
      </w:pPr>
    </w:p>
    <w:p w:rsidR="008F715D" w:rsidRDefault="008F715D" w:rsidP="008F715D">
      <w:pPr>
        <w:jc w:val="both"/>
        <w:rPr>
          <w:rFonts w:asciiTheme="majorBidi" w:hAnsiTheme="majorBidi" w:cstheme="majorBidi"/>
          <w:b/>
          <w:bCs/>
          <w:i/>
        </w:rPr>
      </w:pPr>
      <w:r w:rsidRPr="00214EB3">
        <w:rPr>
          <w:rFonts w:asciiTheme="majorBidi" w:hAnsiTheme="majorBidi" w:cstheme="majorBidi"/>
          <w:b/>
          <w:bCs/>
          <w:i/>
        </w:rPr>
        <w:t>Evolution de l'activité de sciage</w:t>
      </w:r>
    </w:p>
    <w:tbl>
      <w:tblPr>
        <w:tblW w:w="9087" w:type="dxa"/>
        <w:tblInd w:w="55" w:type="dxa"/>
        <w:tblLayout w:type="fixed"/>
        <w:tblCellMar>
          <w:left w:w="70" w:type="dxa"/>
          <w:right w:w="70" w:type="dxa"/>
        </w:tblCellMar>
        <w:tblLook w:val="04A0"/>
      </w:tblPr>
      <w:tblGrid>
        <w:gridCol w:w="4840"/>
        <w:gridCol w:w="1415"/>
        <w:gridCol w:w="1416"/>
        <w:gridCol w:w="1416"/>
      </w:tblGrid>
      <w:tr w:rsidR="008F715D" w:rsidRPr="00BD7F7B"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t>(en m3)</w:t>
            </w:r>
          </w:p>
        </w:tc>
        <w:tc>
          <w:tcPr>
            <w:tcW w:w="4247"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color w:val="000000"/>
                <w:szCs w:val="20"/>
              </w:rPr>
            </w:pPr>
            <w:r w:rsidRPr="00BD7F7B">
              <w:rPr>
                <w:color w:val="000000"/>
                <w:sz w:val="22"/>
                <w:szCs w:val="20"/>
              </w:rPr>
              <w:t>Premier semestre</w:t>
            </w:r>
          </w:p>
        </w:tc>
      </w:tr>
      <w:tr w:rsidR="008F715D" w:rsidRPr="00BD7F7B"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t> </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color w:val="000000"/>
                <w:szCs w:val="20"/>
              </w:rPr>
            </w:pPr>
            <w:r w:rsidRPr="00BD7F7B">
              <w:rPr>
                <w:color w:val="000000"/>
                <w:sz w:val="22"/>
                <w:szCs w:val="20"/>
              </w:rPr>
              <w:t>2015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color w:val="000000"/>
                <w:szCs w:val="20"/>
              </w:rPr>
            </w:pPr>
            <w:r w:rsidRPr="00BD7F7B">
              <w:rPr>
                <w:color w:val="000000"/>
                <w:sz w:val="22"/>
                <w:szCs w:val="20"/>
              </w:rPr>
              <w:t>2016</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Var 16/15</w:t>
            </w:r>
          </w:p>
        </w:tc>
      </w:tr>
      <w:tr w:rsidR="008F715D" w:rsidRPr="00BD7F7B"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t>Production</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207 350</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227 905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9,9%</w:t>
            </w:r>
          </w:p>
        </w:tc>
      </w:tr>
      <w:tr w:rsidR="008F715D" w:rsidRPr="00BD7F7B"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t>Ventes locales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15 203</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15 925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4,7%</w:t>
            </w:r>
          </w:p>
        </w:tc>
      </w:tr>
      <w:tr w:rsidR="008F715D" w:rsidRPr="00BD7F7B"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t>Exportations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177 165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206 489</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16,6%</w:t>
            </w:r>
          </w:p>
        </w:tc>
      </w:tr>
    </w:tbl>
    <w:p w:rsidR="008F715D" w:rsidRPr="00CA3A79" w:rsidRDefault="008F715D" w:rsidP="008F715D">
      <w:pPr>
        <w:jc w:val="both"/>
        <w:rPr>
          <w:rFonts w:asciiTheme="majorBidi" w:hAnsiTheme="majorBidi" w:cstheme="majorBidi"/>
          <w:b/>
          <w:i/>
          <w:sz w:val="16"/>
          <w:szCs w:val="16"/>
        </w:rPr>
      </w:pPr>
      <w:r w:rsidRPr="00CA3A79">
        <w:rPr>
          <w:rFonts w:asciiTheme="majorBidi" w:hAnsiTheme="majorBidi" w:cstheme="majorBidi"/>
          <w:b/>
          <w:bCs/>
          <w:i/>
          <w:sz w:val="16"/>
          <w:szCs w:val="16"/>
        </w:rPr>
        <w:t>Sources: Dicb, Hua Jia, Sitrab, Somivab, Ifeg, Sbg, R</w:t>
      </w:r>
      <w:r>
        <w:rPr>
          <w:rFonts w:asciiTheme="majorBidi" w:hAnsiTheme="majorBidi" w:cstheme="majorBidi"/>
          <w:b/>
          <w:bCs/>
          <w:i/>
          <w:sz w:val="16"/>
          <w:szCs w:val="16"/>
        </w:rPr>
        <w:t>ougier</w:t>
      </w:r>
      <w:r w:rsidRPr="00CA3A79">
        <w:rPr>
          <w:rFonts w:asciiTheme="majorBidi" w:hAnsiTheme="majorBidi" w:cstheme="majorBidi"/>
          <w:b/>
          <w:bCs/>
          <w:i/>
          <w:sz w:val="16"/>
          <w:szCs w:val="16"/>
        </w:rPr>
        <w:t xml:space="preserve"> Mb</w:t>
      </w:r>
      <w:r>
        <w:rPr>
          <w:rFonts w:asciiTheme="majorBidi" w:hAnsiTheme="majorBidi" w:cstheme="majorBidi"/>
          <w:b/>
          <w:bCs/>
          <w:i/>
          <w:sz w:val="16"/>
          <w:szCs w:val="16"/>
        </w:rPr>
        <w:t xml:space="preserve">ouma </w:t>
      </w:r>
      <w:r w:rsidRPr="00CA3A79">
        <w:rPr>
          <w:rFonts w:asciiTheme="majorBidi" w:hAnsiTheme="majorBidi" w:cstheme="majorBidi"/>
          <w:b/>
          <w:bCs/>
          <w:i/>
          <w:sz w:val="16"/>
          <w:szCs w:val="16"/>
        </w:rPr>
        <w:t>Oy</w:t>
      </w:r>
      <w:r>
        <w:rPr>
          <w:rFonts w:asciiTheme="majorBidi" w:hAnsiTheme="majorBidi" w:cstheme="majorBidi"/>
          <w:b/>
          <w:bCs/>
          <w:i/>
          <w:sz w:val="16"/>
          <w:szCs w:val="16"/>
        </w:rPr>
        <w:t>ali</w:t>
      </w:r>
      <w:r w:rsidRPr="00CA3A79">
        <w:rPr>
          <w:rFonts w:asciiTheme="majorBidi" w:hAnsiTheme="majorBidi" w:cstheme="majorBidi"/>
          <w:b/>
          <w:bCs/>
          <w:i/>
          <w:sz w:val="16"/>
          <w:szCs w:val="16"/>
        </w:rPr>
        <w:t>, Bso Ndjolé, Safor I., R</w:t>
      </w:r>
      <w:r>
        <w:rPr>
          <w:rFonts w:asciiTheme="majorBidi" w:hAnsiTheme="majorBidi" w:cstheme="majorBidi"/>
          <w:b/>
          <w:bCs/>
          <w:i/>
          <w:sz w:val="16"/>
          <w:szCs w:val="16"/>
        </w:rPr>
        <w:t>ou</w:t>
      </w:r>
      <w:r w:rsidRPr="00CA3A79">
        <w:rPr>
          <w:rFonts w:asciiTheme="majorBidi" w:hAnsiTheme="majorBidi" w:cstheme="majorBidi"/>
          <w:b/>
          <w:bCs/>
          <w:i/>
          <w:sz w:val="16"/>
          <w:szCs w:val="16"/>
        </w:rPr>
        <w:t>g</w:t>
      </w:r>
      <w:r>
        <w:rPr>
          <w:rFonts w:asciiTheme="majorBidi" w:hAnsiTheme="majorBidi" w:cstheme="majorBidi"/>
          <w:b/>
          <w:bCs/>
          <w:i/>
          <w:sz w:val="16"/>
          <w:szCs w:val="16"/>
        </w:rPr>
        <w:t>ier</w:t>
      </w:r>
      <w:r w:rsidRPr="00CA3A79">
        <w:rPr>
          <w:rFonts w:asciiTheme="majorBidi" w:hAnsiTheme="majorBidi" w:cstheme="majorBidi"/>
          <w:b/>
          <w:i/>
          <w:sz w:val="16"/>
          <w:szCs w:val="16"/>
        </w:rPr>
        <w:t xml:space="preserve"> Mevang, Tali B</w:t>
      </w:r>
      <w:r>
        <w:rPr>
          <w:rFonts w:asciiTheme="majorBidi" w:hAnsiTheme="majorBidi" w:cstheme="majorBidi"/>
          <w:b/>
          <w:i/>
          <w:sz w:val="16"/>
          <w:szCs w:val="16"/>
        </w:rPr>
        <w:t>ois</w:t>
      </w:r>
      <w:r w:rsidRPr="00CA3A79">
        <w:rPr>
          <w:rFonts w:asciiTheme="majorBidi" w:hAnsiTheme="majorBidi" w:cstheme="majorBidi"/>
          <w:b/>
          <w:i/>
          <w:sz w:val="16"/>
          <w:szCs w:val="16"/>
        </w:rPr>
        <w:t>, R</w:t>
      </w:r>
      <w:r>
        <w:rPr>
          <w:rFonts w:asciiTheme="majorBidi" w:hAnsiTheme="majorBidi" w:cstheme="majorBidi"/>
          <w:b/>
          <w:i/>
          <w:sz w:val="16"/>
          <w:szCs w:val="16"/>
        </w:rPr>
        <w:t>ou</w:t>
      </w:r>
      <w:r w:rsidRPr="00CA3A79">
        <w:rPr>
          <w:rFonts w:asciiTheme="majorBidi" w:hAnsiTheme="majorBidi" w:cstheme="majorBidi"/>
          <w:b/>
          <w:i/>
          <w:sz w:val="16"/>
          <w:szCs w:val="16"/>
        </w:rPr>
        <w:t>g</w:t>
      </w:r>
      <w:r>
        <w:rPr>
          <w:rFonts w:asciiTheme="majorBidi" w:hAnsiTheme="majorBidi" w:cstheme="majorBidi"/>
          <w:b/>
          <w:i/>
          <w:sz w:val="16"/>
          <w:szCs w:val="16"/>
        </w:rPr>
        <w:t>ier</w:t>
      </w:r>
      <w:r w:rsidRPr="00CA3A79">
        <w:rPr>
          <w:rFonts w:asciiTheme="majorBidi" w:hAnsiTheme="majorBidi" w:cstheme="majorBidi"/>
          <w:b/>
          <w:i/>
          <w:sz w:val="16"/>
          <w:szCs w:val="16"/>
        </w:rPr>
        <w:t xml:space="preserve"> Ivindo, Egb, Peng X</w:t>
      </w:r>
      <w:r>
        <w:rPr>
          <w:rFonts w:asciiTheme="majorBidi" w:hAnsiTheme="majorBidi" w:cstheme="majorBidi"/>
          <w:b/>
          <w:i/>
          <w:sz w:val="16"/>
          <w:szCs w:val="16"/>
        </w:rPr>
        <w:t>ing,</w:t>
      </w:r>
      <w:r w:rsidRPr="00CA3A79">
        <w:rPr>
          <w:rFonts w:asciiTheme="majorBidi" w:hAnsiTheme="majorBidi" w:cstheme="majorBidi"/>
          <w:b/>
          <w:i/>
          <w:sz w:val="16"/>
          <w:szCs w:val="16"/>
        </w:rPr>
        <w:t xml:space="preserve"> Mkk, Ceb, Cora W</w:t>
      </w:r>
      <w:r>
        <w:rPr>
          <w:rFonts w:asciiTheme="majorBidi" w:hAnsiTheme="majorBidi" w:cstheme="majorBidi"/>
          <w:b/>
          <w:i/>
          <w:sz w:val="16"/>
          <w:szCs w:val="16"/>
        </w:rPr>
        <w:t>ood</w:t>
      </w:r>
      <w:r w:rsidRPr="00CA3A79">
        <w:rPr>
          <w:rFonts w:asciiTheme="majorBidi" w:hAnsiTheme="majorBidi" w:cstheme="majorBidi"/>
          <w:b/>
          <w:i/>
          <w:sz w:val="16"/>
          <w:szCs w:val="16"/>
        </w:rPr>
        <w:t>, Cbg, Bordamur Oy</w:t>
      </w:r>
      <w:r>
        <w:rPr>
          <w:rFonts w:asciiTheme="majorBidi" w:hAnsiTheme="majorBidi" w:cstheme="majorBidi"/>
          <w:b/>
          <w:i/>
          <w:sz w:val="16"/>
          <w:szCs w:val="16"/>
        </w:rPr>
        <w:t>em</w:t>
      </w:r>
      <w:r w:rsidRPr="00CA3A79">
        <w:rPr>
          <w:rFonts w:asciiTheme="majorBidi" w:hAnsiTheme="majorBidi" w:cstheme="majorBidi"/>
          <w:b/>
          <w:i/>
          <w:sz w:val="16"/>
          <w:szCs w:val="16"/>
        </w:rPr>
        <w:t>, Bso Minko Mibe, Ttib, Tbni Ow</w:t>
      </w:r>
      <w:r>
        <w:rPr>
          <w:rFonts w:asciiTheme="majorBidi" w:hAnsiTheme="majorBidi" w:cstheme="majorBidi"/>
          <w:b/>
          <w:i/>
          <w:sz w:val="16"/>
          <w:szCs w:val="16"/>
        </w:rPr>
        <w:t>endo,</w:t>
      </w:r>
      <w:r w:rsidRPr="00CA3A79">
        <w:rPr>
          <w:rFonts w:asciiTheme="majorBidi" w:hAnsiTheme="majorBidi" w:cstheme="majorBidi"/>
          <w:b/>
          <w:i/>
          <w:sz w:val="16"/>
          <w:szCs w:val="16"/>
        </w:rPr>
        <w:t xml:space="preserve"> Snbg.</w:t>
      </w:r>
    </w:p>
    <w:p w:rsidR="008F715D" w:rsidRPr="00CB1F5B" w:rsidRDefault="008F715D" w:rsidP="008F715D">
      <w:pPr>
        <w:pStyle w:val="yiv2296082366msolistparagraph"/>
        <w:spacing w:before="0" w:beforeAutospacing="0" w:after="0" w:afterAutospacing="0"/>
        <w:jc w:val="both"/>
        <w:rPr>
          <w:rFonts w:asciiTheme="majorBidi" w:eastAsiaTheme="minorEastAsia" w:hAnsiTheme="majorBidi" w:cstheme="majorBidi"/>
        </w:rPr>
      </w:pPr>
    </w:p>
    <w:p w:rsidR="008F715D" w:rsidRPr="000951CA" w:rsidRDefault="008F715D" w:rsidP="008F715D">
      <w:pPr>
        <w:pStyle w:val="Titre3"/>
        <w:ind w:right="0" w:firstLine="0"/>
        <w:rPr>
          <w:b/>
          <w:bCs/>
          <w:i/>
          <w:iCs/>
          <w:color w:val="0000FF"/>
          <w:sz w:val="24"/>
        </w:rPr>
      </w:pPr>
      <w:bookmarkStart w:id="89" w:name="_Toc436475064"/>
      <w:bookmarkStart w:id="90" w:name="_Toc462990823"/>
      <w:r>
        <w:rPr>
          <w:b/>
          <w:bCs/>
          <w:i/>
          <w:iCs/>
          <w:color w:val="0000FF"/>
          <w:sz w:val="24"/>
        </w:rPr>
        <w:t>II.8</w:t>
      </w:r>
      <w:r w:rsidRPr="00E510AF">
        <w:rPr>
          <w:b/>
          <w:bCs/>
          <w:i/>
          <w:iCs/>
          <w:color w:val="0000FF"/>
          <w:sz w:val="24"/>
        </w:rPr>
        <w:t>.</w:t>
      </w:r>
      <w:r>
        <w:rPr>
          <w:b/>
          <w:bCs/>
          <w:i/>
          <w:iCs/>
          <w:color w:val="0000FF"/>
          <w:sz w:val="24"/>
        </w:rPr>
        <w:t>2</w:t>
      </w:r>
      <w:r w:rsidRPr="00E510AF">
        <w:rPr>
          <w:b/>
          <w:bCs/>
          <w:i/>
          <w:iCs/>
          <w:color w:val="0000FF"/>
          <w:sz w:val="24"/>
        </w:rPr>
        <w:t xml:space="preserve">. </w:t>
      </w:r>
      <w:r w:rsidRPr="000951CA">
        <w:rPr>
          <w:b/>
          <w:bCs/>
          <w:i/>
          <w:iCs/>
          <w:color w:val="0000FF"/>
          <w:sz w:val="24"/>
        </w:rPr>
        <w:t>Les unités de déroulage</w:t>
      </w:r>
      <w:bookmarkEnd w:id="89"/>
      <w:bookmarkEnd w:id="90"/>
    </w:p>
    <w:p w:rsidR="008F715D" w:rsidRPr="00E510AF" w:rsidRDefault="008F715D" w:rsidP="008F715D"/>
    <w:p w:rsidR="008F715D" w:rsidRPr="000951CA" w:rsidRDefault="008F715D" w:rsidP="008F715D">
      <w:pPr>
        <w:pStyle w:val="Paragraphedeliste"/>
        <w:numPr>
          <w:ilvl w:val="0"/>
          <w:numId w:val="2"/>
        </w:numPr>
        <w:spacing w:after="0" w:line="240" w:lineRule="auto"/>
        <w:jc w:val="both"/>
        <w:rPr>
          <w:rFonts w:ascii="Times New Roman" w:eastAsia="Times New Roman" w:hAnsi="Times New Roman"/>
          <w:b/>
          <w:bCs/>
          <w:i/>
          <w:iCs/>
          <w:color w:val="0000FF"/>
          <w:sz w:val="24"/>
          <w:szCs w:val="24"/>
          <w:lang w:eastAsia="fr-FR"/>
        </w:rPr>
      </w:pPr>
      <w:r w:rsidRPr="000951CA">
        <w:rPr>
          <w:rFonts w:ascii="Times New Roman" w:eastAsia="Times New Roman" w:hAnsi="Times New Roman"/>
          <w:b/>
          <w:bCs/>
          <w:i/>
          <w:iCs/>
          <w:color w:val="0000FF"/>
          <w:sz w:val="24"/>
          <w:szCs w:val="24"/>
          <w:lang w:eastAsia="fr-FR"/>
        </w:rPr>
        <w:t>Le placage</w:t>
      </w:r>
    </w:p>
    <w:p w:rsidR="008F715D" w:rsidRPr="00CE3A19" w:rsidRDefault="008F715D" w:rsidP="008F715D">
      <w:pPr>
        <w:jc w:val="both"/>
        <w:rPr>
          <w:highlight w:val="yellow"/>
        </w:rPr>
      </w:pPr>
    </w:p>
    <w:p w:rsidR="008F715D" w:rsidRPr="00214EB3" w:rsidRDefault="008F715D" w:rsidP="008F715D">
      <w:pPr>
        <w:jc w:val="both"/>
        <w:rPr>
          <w:rFonts w:asciiTheme="majorBidi" w:hAnsiTheme="majorBidi" w:cstheme="majorBidi"/>
        </w:rPr>
      </w:pPr>
      <w:r w:rsidRPr="00214EB3">
        <w:rPr>
          <w:rFonts w:asciiTheme="majorBidi" w:hAnsiTheme="majorBidi" w:cstheme="majorBidi"/>
        </w:rPr>
        <w:t xml:space="preserve">Le segment placage </w:t>
      </w:r>
      <w:r>
        <w:rPr>
          <w:rFonts w:asciiTheme="majorBidi" w:hAnsiTheme="majorBidi" w:cstheme="majorBidi"/>
        </w:rPr>
        <w:t xml:space="preserve">a </w:t>
      </w:r>
      <w:r w:rsidRPr="00214EB3">
        <w:rPr>
          <w:rFonts w:asciiTheme="majorBidi" w:hAnsiTheme="majorBidi" w:cstheme="majorBidi"/>
        </w:rPr>
        <w:t>enregistr</w:t>
      </w:r>
      <w:r>
        <w:rPr>
          <w:rFonts w:asciiTheme="majorBidi" w:hAnsiTheme="majorBidi" w:cstheme="majorBidi"/>
        </w:rPr>
        <w:t>é</w:t>
      </w:r>
      <w:r w:rsidRPr="00214EB3">
        <w:rPr>
          <w:rFonts w:asciiTheme="majorBidi" w:hAnsiTheme="majorBidi" w:cstheme="majorBidi"/>
        </w:rPr>
        <w:t xml:space="preserve"> </w:t>
      </w:r>
      <w:r>
        <w:rPr>
          <w:rFonts w:asciiTheme="majorBidi" w:hAnsiTheme="majorBidi" w:cstheme="majorBidi"/>
        </w:rPr>
        <w:t>une amélioration</w:t>
      </w:r>
      <w:r w:rsidRPr="00214EB3">
        <w:rPr>
          <w:rFonts w:asciiTheme="majorBidi" w:hAnsiTheme="majorBidi" w:cstheme="majorBidi"/>
        </w:rPr>
        <w:t xml:space="preserve"> </w:t>
      </w:r>
      <w:r>
        <w:rPr>
          <w:rFonts w:asciiTheme="majorBidi" w:hAnsiTheme="majorBidi" w:cstheme="majorBidi"/>
        </w:rPr>
        <w:t>des</w:t>
      </w:r>
      <w:r w:rsidRPr="00214EB3">
        <w:rPr>
          <w:rFonts w:asciiTheme="majorBidi" w:hAnsiTheme="majorBidi" w:cstheme="majorBidi"/>
        </w:rPr>
        <w:t xml:space="preserve"> performances industrielles et commerciales </w:t>
      </w:r>
      <w:r>
        <w:rPr>
          <w:rFonts w:asciiTheme="majorBidi" w:hAnsiTheme="majorBidi" w:cstheme="majorBidi"/>
        </w:rPr>
        <w:t xml:space="preserve">au cours </w:t>
      </w:r>
      <w:r w:rsidRPr="00214EB3">
        <w:rPr>
          <w:rFonts w:asciiTheme="majorBidi" w:hAnsiTheme="majorBidi" w:cstheme="majorBidi"/>
        </w:rPr>
        <w:t>du premier semestre 2016. En effet, la production est passée à 111 815 m</w:t>
      </w:r>
      <w:r w:rsidRPr="00855D88">
        <w:rPr>
          <w:rFonts w:asciiTheme="majorBidi" w:hAnsiTheme="majorBidi" w:cstheme="majorBidi"/>
          <w:vertAlign w:val="superscript"/>
        </w:rPr>
        <w:t>3</w:t>
      </w:r>
      <w:r w:rsidRPr="00214EB3">
        <w:rPr>
          <w:rFonts w:asciiTheme="majorBidi" w:hAnsiTheme="majorBidi" w:cstheme="majorBidi"/>
        </w:rPr>
        <w:t>, soit une hausse de 20,4%</w:t>
      </w:r>
      <w:r>
        <w:rPr>
          <w:rFonts w:asciiTheme="majorBidi" w:hAnsiTheme="majorBidi" w:cstheme="majorBidi"/>
        </w:rPr>
        <w:t>. Parallèlement</w:t>
      </w:r>
      <w:r w:rsidRPr="00214EB3">
        <w:rPr>
          <w:rFonts w:asciiTheme="majorBidi" w:hAnsiTheme="majorBidi" w:cstheme="majorBidi"/>
        </w:rPr>
        <w:t xml:space="preserve">, les exportations </w:t>
      </w:r>
      <w:r>
        <w:rPr>
          <w:rFonts w:asciiTheme="majorBidi" w:hAnsiTheme="majorBidi" w:cstheme="majorBidi"/>
        </w:rPr>
        <w:t xml:space="preserve">ont </w:t>
      </w:r>
      <w:r w:rsidRPr="00214EB3">
        <w:rPr>
          <w:rFonts w:asciiTheme="majorBidi" w:hAnsiTheme="majorBidi" w:cstheme="majorBidi"/>
        </w:rPr>
        <w:t>augment</w:t>
      </w:r>
      <w:r>
        <w:rPr>
          <w:rFonts w:asciiTheme="majorBidi" w:hAnsiTheme="majorBidi" w:cstheme="majorBidi"/>
        </w:rPr>
        <w:t>é</w:t>
      </w:r>
      <w:r w:rsidRPr="00214EB3">
        <w:rPr>
          <w:rFonts w:asciiTheme="majorBidi" w:hAnsiTheme="majorBidi" w:cstheme="majorBidi"/>
        </w:rPr>
        <w:t xml:space="preserve"> de 25,8%</w:t>
      </w:r>
      <w:r>
        <w:rPr>
          <w:rFonts w:asciiTheme="majorBidi" w:hAnsiTheme="majorBidi" w:cstheme="majorBidi"/>
        </w:rPr>
        <w:t xml:space="preserve">, sous l’effet de </w:t>
      </w:r>
      <w:r w:rsidRPr="00214EB3">
        <w:rPr>
          <w:rFonts w:asciiTheme="majorBidi" w:hAnsiTheme="majorBidi" w:cstheme="majorBidi"/>
        </w:rPr>
        <w:t>la vigueur du marché international.</w:t>
      </w:r>
    </w:p>
    <w:p w:rsidR="008F715D" w:rsidRPr="00214EB3" w:rsidRDefault="008F715D" w:rsidP="008F715D">
      <w:pPr>
        <w:jc w:val="both"/>
        <w:rPr>
          <w:rFonts w:asciiTheme="majorBidi" w:hAnsiTheme="majorBidi" w:cstheme="majorBidi"/>
        </w:rPr>
      </w:pPr>
    </w:p>
    <w:p w:rsidR="008F715D" w:rsidRDefault="008F715D" w:rsidP="008F715D">
      <w:pPr>
        <w:ind w:firstLine="1"/>
        <w:jc w:val="both"/>
        <w:rPr>
          <w:rFonts w:asciiTheme="majorBidi" w:hAnsiTheme="majorBidi" w:cstheme="majorBidi"/>
          <w:b/>
          <w:bCs/>
          <w:i/>
        </w:rPr>
      </w:pPr>
      <w:r w:rsidRPr="00214EB3">
        <w:rPr>
          <w:rFonts w:asciiTheme="majorBidi" w:hAnsiTheme="majorBidi" w:cstheme="majorBidi"/>
          <w:b/>
          <w:bCs/>
          <w:i/>
        </w:rPr>
        <w:t>Evolution de l'activité de placage</w:t>
      </w:r>
    </w:p>
    <w:tbl>
      <w:tblPr>
        <w:tblW w:w="8804" w:type="dxa"/>
        <w:tblInd w:w="55" w:type="dxa"/>
        <w:tblLayout w:type="fixed"/>
        <w:tblCellMar>
          <w:left w:w="70" w:type="dxa"/>
          <w:right w:w="70" w:type="dxa"/>
        </w:tblCellMar>
        <w:tblLook w:val="04A0"/>
      </w:tblPr>
      <w:tblGrid>
        <w:gridCol w:w="4840"/>
        <w:gridCol w:w="1321"/>
        <w:gridCol w:w="1321"/>
        <w:gridCol w:w="1322"/>
      </w:tblGrid>
      <w:tr w:rsidR="008F715D" w:rsidRPr="00BD7F7B"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t>(en m3)</w:t>
            </w:r>
          </w:p>
        </w:tc>
        <w:tc>
          <w:tcPr>
            <w:tcW w:w="3964"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color w:val="000000"/>
                <w:szCs w:val="20"/>
              </w:rPr>
            </w:pPr>
            <w:r w:rsidRPr="00BD7F7B">
              <w:rPr>
                <w:color w:val="000000"/>
                <w:sz w:val="22"/>
                <w:szCs w:val="20"/>
              </w:rPr>
              <w:t>Premier semestre</w:t>
            </w:r>
          </w:p>
        </w:tc>
      </w:tr>
      <w:tr w:rsidR="008F715D" w:rsidRPr="00BD7F7B"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t> </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color w:val="000000"/>
                <w:szCs w:val="20"/>
              </w:rPr>
            </w:pPr>
            <w:r w:rsidRPr="00BD7F7B">
              <w:rPr>
                <w:color w:val="000000"/>
                <w:sz w:val="22"/>
                <w:szCs w:val="20"/>
              </w:rPr>
              <w:t>2015</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color w:val="000000"/>
                <w:szCs w:val="20"/>
              </w:rPr>
            </w:pPr>
            <w:r w:rsidRPr="00BD7F7B">
              <w:rPr>
                <w:color w:val="000000"/>
                <w:sz w:val="22"/>
                <w:szCs w:val="20"/>
              </w:rPr>
              <w:t>2016</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Var 16/15</w:t>
            </w:r>
          </w:p>
        </w:tc>
      </w:tr>
      <w:tr w:rsidR="008F715D" w:rsidRPr="00BD7F7B"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t>Production</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92 858</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111 815</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20,4%</w:t>
            </w:r>
          </w:p>
        </w:tc>
      </w:tr>
      <w:tr w:rsidR="008F715D" w:rsidRPr="00BD7F7B"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lastRenderedPageBreak/>
              <w:t>Ventes locales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 </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 </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w:t>
            </w:r>
          </w:p>
        </w:tc>
      </w:tr>
      <w:tr w:rsidR="008F715D" w:rsidRPr="00BD7F7B"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t>Exportations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72 660</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91 433</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25,8%</w:t>
            </w:r>
          </w:p>
        </w:tc>
      </w:tr>
    </w:tbl>
    <w:p w:rsidR="008F715D" w:rsidRPr="00CA3A79" w:rsidRDefault="008F715D" w:rsidP="008F715D">
      <w:pPr>
        <w:rPr>
          <w:rFonts w:asciiTheme="majorBidi" w:hAnsiTheme="majorBidi" w:cstheme="majorBidi"/>
          <w:b/>
          <w:bCs/>
          <w:i/>
          <w:sz w:val="16"/>
          <w:szCs w:val="16"/>
        </w:rPr>
      </w:pPr>
      <w:r w:rsidRPr="00CA3A79">
        <w:rPr>
          <w:rFonts w:asciiTheme="majorBidi" w:hAnsiTheme="majorBidi" w:cstheme="majorBidi"/>
          <w:b/>
          <w:bCs/>
          <w:i/>
          <w:sz w:val="16"/>
          <w:szCs w:val="16"/>
        </w:rPr>
        <w:t>Sources: Cora Wood, Snbg, Thébault-Transbois, Rimbunan, Tgi, Cema Gabon.</w:t>
      </w:r>
    </w:p>
    <w:p w:rsidR="008F715D" w:rsidRPr="00CB1F5B" w:rsidRDefault="008F715D" w:rsidP="008F715D">
      <w:pPr>
        <w:jc w:val="both"/>
        <w:rPr>
          <w:rFonts w:asciiTheme="majorBidi" w:hAnsiTheme="majorBidi" w:cstheme="majorBidi"/>
        </w:rPr>
      </w:pPr>
    </w:p>
    <w:p w:rsidR="008F715D" w:rsidRPr="000951CA" w:rsidRDefault="008F715D" w:rsidP="008F715D">
      <w:pPr>
        <w:pStyle w:val="Paragraphedeliste"/>
        <w:numPr>
          <w:ilvl w:val="0"/>
          <w:numId w:val="2"/>
        </w:numPr>
        <w:spacing w:after="0" w:line="240" w:lineRule="auto"/>
        <w:jc w:val="both"/>
        <w:rPr>
          <w:rFonts w:ascii="Times New Roman" w:eastAsia="Times New Roman" w:hAnsi="Times New Roman"/>
          <w:b/>
          <w:bCs/>
          <w:i/>
          <w:iCs/>
          <w:color w:val="0000FF"/>
          <w:sz w:val="24"/>
          <w:szCs w:val="24"/>
          <w:lang w:eastAsia="fr-FR"/>
        </w:rPr>
      </w:pPr>
      <w:r w:rsidRPr="000951CA">
        <w:rPr>
          <w:rFonts w:ascii="Times New Roman" w:eastAsia="Times New Roman" w:hAnsi="Times New Roman"/>
          <w:b/>
          <w:bCs/>
          <w:i/>
          <w:iCs/>
          <w:color w:val="0000FF"/>
          <w:sz w:val="24"/>
          <w:szCs w:val="24"/>
          <w:lang w:eastAsia="fr-FR"/>
        </w:rPr>
        <w:t>Le contreplaqué</w:t>
      </w:r>
    </w:p>
    <w:p w:rsidR="008F715D" w:rsidRDefault="008F715D" w:rsidP="008F715D">
      <w:pPr>
        <w:jc w:val="both"/>
      </w:pPr>
    </w:p>
    <w:p w:rsidR="008F715D" w:rsidRDefault="008F715D" w:rsidP="008F715D">
      <w:pPr>
        <w:jc w:val="both"/>
        <w:rPr>
          <w:rFonts w:asciiTheme="majorBidi" w:hAnsiTheme="majorBidi" w:cstheme="majorBidi"/>
        </w:rPr>
      </w:pPr>
      <w:r w:rsidRPr="00214EB3">
        <w:rPr>
          <w:rFonts w:asciiTheme="majorBidi" w:hAnsiTheme="majorBidi" w:cstheme="majorBidi"/>
        </w:rPr>
        <w:t xml:space="preserve">L’activité de </w:t>
      </w:r>
      <w:r>
        <w:rPr>
          <w:rFonts w:asciiTheme="majorBidi" w:hAnsiTheme="majorBidi" w:cstheme="majorBidi"/>
        </w:rPr>
        <w:t xml:space="preserve">fabrication de </w:t>
      </w:r>
      <w:r w:rsidRPr="00214EB3">
        <w:rPr>
          <w:rFonts w:asciiTheme="majorBidi" w:hAnsiTheme="majorBidi" w:cstheme="majorBidi"/>
        </w:rPr>
        <w:t xml:space="preserve">contreplaqué </w:t>
      </w:r>
      <w:r>
        <w:rPr>
          <w:rFonts w:asciiTheme="majorBidi" w:hAnsiTheme="majorBidi" w:cstheme="majorBidi"/>
        </w:rPr>
        <w:t xml:space="preserve">s’est caractérisée par </w:t>
      </w:r>
      <w:r w:rsidRPr="00214EB3">
        <w:rPr>
          <w:rFonts w:asciiTheme="majorBidi" w:hAnsiTheme="majorBidi" w:cstheme="majorBidi"/>
        </w:rPr>
        <w:t xml:space="preserve">des résultats </w:t>
      </w:r>
      <w:r>
        <w:rPr>
          <w:rFonts w:asciiTheme="majorBidi" w:hAnsiTheme="majorBidi" w:cstheme="majorBidi"/>
        </w:rPr>
        <w:t>appréciables</w:t>
      </w:r>
      <w:r w:rsidRPr="00214EB3">
        <w:rPr>
          <w:rFonts w:asciiTheme="majorBidi" w:hAnsiTheme="majorBidi" w:cstheme="majorBidi"/>
        </w:rPr>
        <w:t xml:space="preserve"> à </w:t>
      </w:r>
      <w:r>
        <w:rPr>
          <w:rFonts w:asciiTheme="majorBidi" w:hAnsiTheme="majorBidi" w:cstheme="majorBidi"/>
        </w:rPr>
        <w:t>f</w:t>
      </w:r>
      <w:r w:rsidRPr="00214EB3">
        <w:rPr>
          <w:rFonts w:asciiTheme="majorBidi" w:hAnsiTheme="majorBidi" w:cstheme="majorBidi"/>
        </w:rPr>
        <w:t xml:space="preserve">in </w:t>
      </w:r>
      <w:r>
        <w:rPr>
          <w:rFonts w:asciiTheme="majorBidi" w:hAnsiTheme="majorBidi" w:cstheme="majorBidi"/>
        </w:rPr>
        <w:t>j</w:t>
      </w:r>
      <w:r w:rsidRPr="00214EB3">
        <w:rPr>
          <w:rFonts w:asciiTheme="majorBidi" w:hAnsiTheme="majorBidi" w:cstheme="majorBidi"/>
        </w:rPr>
        <w:t xml:space="preserve">uin 2016. </w:t>
      </w:r>
      <w:r>
        <w:rPr>
          <w:rFonts w:asciiTheme="majorBidi" w:hAnsiTheme="majorBidi" w:cstheme="majorBidi"/>
        </w:rPr>
        <w:t>Ainsi</w:t>
      </w:r>
      <w:r w:rsidRPr="00214EB3">
        <w:rPr>
          <w:rFonts w:asciiTheme="majorBidi" w:hAnsiTheme="majorBidi" w:cstheme="majorBidi"/>
        </w:rPr>
        <w:t xml:space="preserve">, </w:t>
      </w:r>
      <w:r>
        <w:rPr>
          <w:rFonts w:asciiTheme="majorBidi" w:hAnsiTheme="majorBidi" w:cstheme="majorBidi"/>
        </w:rPr>
        <w:t>l</w:t>
      </w:r>
      <w:r w:rsidRPr="00214EB3">
        <w:rPr>
          <w:rFonts w:asciiTheme="majorBidi" w:hAnsiTheme="majorBidi" w:cstheme="majorBidi"/>
        </w:rPr>
        <w:t>a production est passée à 31</w:t>
      </w:r>
      <w:r>
        <w:rPr>
          <w:rFonts w:asciiTheme="majorBidi" w:hAnsiTheme="majorBidi" w:cstheme="majorBidi"/>
        </w:rPr>
        <w:t> </w:t>
      </w:r>
      <w:r w:rsidRPr="00214EB3">
        <w:rPr>
          <w:rFonts w:asciiTheme="majorBidi" w:hAnsiTheme="majorBidi" w:cstheme="majorBidi"/>
        </w:rPr>
        <w:t>158</w:t>
      </w:r>
      <w:r>
        <w:rPr>
          <w:rFonts w:asciiTheme="majorBidi" w:hAnsiTheme="majorBidi" w:cstheme="majorBidi"/>
        </w:rPr>
        <w:t xml:space="preserve"> </w:t>
      </w:r>
      <w:r w:rsidRPr="00214EB3">
        <w:rPr>
          <w:rFonts w:asciiTheme="majorBidi" w:hAnsiTheme="majorBidi" w:cstheme="majorBidi"/>
        </w:rPr>
        <w:t>m</w:t>
      </w:r>
      <w:r w:rsidRPr="00855D88">
        <w:rPr>
          <w:rFonts w:asciiTheme="majorBidi" w:hAnsiTheme="majorBidi" w:cstheme="majorBidi"/>
          <w:vertAlign w:val="superscript"/>
        </w:rPr>
        <w:t>3</w:t>
      </w:r>
      <w:r>
        <w:rPr>
          <w:rFonts w:asciiTheme="majorBidi" w:hAnsiTheme="majorBidi" w:cstheme="majorBidi"/>
        </w:rPr>
        <w:t>,</w:t>
      </w:r>
      <w:r w:rsidRPr="00214EB3">
        <w:rPr>
          <w:rFonts w:asciiTheme="majorBidi" w:hAnsiTheme="majorBidi" w:cstheme="majorBidi"/>
        </w:rPr>
        <w:t xml:space="preserve"> soit une hausse de 13,8%. Cette </w:t>
      </w:r>
      <w:r>
        <w:rPr>
          <w:rFonts w:asciiTheme="majorBidi" w:hAnsiTheme="majorBidi" w:cstheme="majorBidi"/>
        </w:rPr>
        <w:t xml:space="preserve">amélioration </w:t>
      </w:r>
      <w:r w:rsidRPr="00214EB3">
        <w:rPr>
          <w:rFonts w:asciiTheme="majorBidi" w:hAnsiTheme="majorBidi" w:cstheme="majorBidi"/>
        </w:rPr>
        <w:t>est li</w:t>
      </w:r>
      <w:r>
        <w:rPr>
          <w:rFonts w:asciiTheme="majorBidi" w:hAnsiTheme="majorBidi" w:cstheme="majorBidi"/>
        </w:rPr>
        <w:t>ée</w:t>
      </w:r>
      <w:r w:rsidRPr="00214EB3">
        <w:rPr>
          <w:rFonts w:asciiTheme="majorBidi" w:hAnsiTheme="majorBidi" w:cstheme="majorBidi"/>
        </w:rPr>
        <w:t xml:space="preserve"> </w:t>
      </w:r>
      <w:r>
        <w:rPr>
          <w:rFonts w:asciiTheme="majorBidi" w:hAnsiTheme="majorBidi" w:cstheme="majorBidi"/>
        </w:rPr>
        <w:t>au fonctionnement optimal des unités de transformation.</w:t>
      </w:r>
    </w:p>
    <w:p w:rsidR="008F715D"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rPr>
      </w:pPr>
      <w:r w:rsidRPr="00214EB3">
        <w:rPr>
          <w:rFonts w:asciiTheme="majorBidi" w:hAnsiTheme="majorBidi" w:cstheme="majorBidi"/>
        </w:rPr>
        <w:t xml:space="preserve">Sur le plan commercial, les exportations </w:t>
      </w:r>
      <w:r>
        <w:rPr>
          <w:rFonts w:asciiTheme="majorBidi" w:hAnsiTheme="majorBidi" w:cstheme="majorBidi"/>
        </w:rPr>
        <w:t>ont connu</w:t>
      </w:r>
      <w:r w:rsidRPr="00214EB3">
        <w:rPr>
          <w:rFonts w:asciiTheme="majorBidi" w:hAnsiTheme="majorBidi" w:cstheme="majorBidi"/>
        </w:rPr>
        <w:t xml:space="preserve"> la même </w:t>
      </w:r>
      <w:r>
        <w:rPr>
          <w:rFonts w:asciiTheme="majorBidi" w:hAnsiTheme="majorBidi" w:cstheme="majorBidi"/>
        </w:rPr>
        <w:t>évolution ascendante (+</w:t>
      </w:r>
      <w:r w:rsidRPr="00214EB3">
        <w:rPr>
          <w:rFonts w:asciiTheme="majorBidi" w:hAnsiTheme="majorBidi" w:cstheme="majorBidi"/>
        </w:rPr>
        <w:t>22,4%</w:t>
      </w:r>
      <w:r>
        <w:rPr>
          <w:rFonts w:asciiTheme="majorBidi" w:hAnsiTheme="majorBidi" w:cstheme="majorBidi"/>
        </w:rPr>
        <w:t>),</w:t>
      </w:r>
      <w:r w:rsidRPr="00214EB3">
        <w:rPr>
          <w:rFonts w:asciiTheme="majorBidi" w:hAnsiTheme="majorBidi" w:cstheme="majorBidi"/>
        </w:rPr>
        <w:t xml:space="preserve"> attei</w:t>
      </w:r>
      <w:r>
        <w:rPr>
          <w:rFonts w:asciiTheme="majorBidi" w:hAnsiTheme="majorBidi" w:cstheme="majorBidi"/>
        </w:rPr>
        <w:t>g</w:t>
      </w:r>
      <w:r w:rsidRPr="00214EB3">
        <w:rPr>
          <w:rFonts w:asciiTheme="majorBidi" w:hAnsiTheme="majorBidi" w:cstheme="majorBidi"/>
        </w:rPr>
        <w:t>n</w:t>
      </w:r>
      <w:r>
        <w:rPr>
          <w:rFonts w:asciiTheme="majorBidi" w:hAnsiTheme="majorBidi" w:cstheme="majorBidi"/>
        </w:rPr>
        <w:t>ant</w:t>
      </w:r>
      <w:r w:rsidRPr="00214EB3">
        <w:rPr>
          <w:rFonts w:asciiTheme="majorBidi" w:hAnsiTheme="majorBidi" w:cstheme="majorBidi"/>
        </w:rPr>
        <w:t xml:space="preserve"> 26 888 m</w:t>
      </w:r>
      <w:r w:rsidRPr="00855D88">
        <w:rPr>
          <w:rFonts w:asciiTheme="majorBidi" w:hAnsiTheme="majorBidi" w:cstheme="majorBidi"/>
          <w:vertAlign w:val="superscript"/>
        </w:rPr>
        <w:t>3</w:t>
      </w:r>
      <w:r>
        <w:rPr>
          <w:rFonts w:asciiTheme="majorBidi" w:hAnsiTheme="majorBidi" w:cstheme="majorBidi"/>
        </w:rPr>
        <w:t>,</w:t>
      </w:r>
      <w:r w:rsidRPr="00214EB3">
        <w:rPr>
          <w:rFonts w:asciiTheme="majorBidi" w:hAnsiTheme="majorBidi" w:cstheme="majorBidi"/>
        </w:rPr>
        <w:t xml:space="preserve"> justifi</w:t>
      </w:r>
      <w:r>
        <w:rPr>
          <w:rFonts w:asciiTheme="majorBidi" w:hAnsiTheme="majorBidi" w:cstheme="majorBidi"/>
        </w:rPr>
        <w:t>ée par les</w:t>
      </w:r>
      <w:r w:rsidRPr="00214EB3">
        <w:rPr>
          <w:rFonts w:asciiTheme="majorBidi" w:hAnsiTheme="majorBidi" w:cstheme="majorBidi"/>
        </w:rPr>
        <w:t xml:space="preserve"> commande</w:t>
      </w:r>
      <w:r>
        <w:rPr>
          <w:rFonts w:asciiTheme="majorBidi" w:hAnsiTheme="majorBidi" w:cstheme="majorBidi"/>
        </w:rPr>
        <w:t>s</w:t>
      </w:r>
      <w:r w:rsidRPr="00214EB3">
        <w:rPr>
          <w:rFonts w:asciiTheme="majorBidi" w:hAnsiTheme="majorBidi" w:cstheme="majorBidi"/>
        </w:rPr>
        <w:t xml:space="preserve"> </w:t>
      </w:r>
      <w:r>
        <w:rPr>
          <w:rFonts w:asciiTheme="majorBidi" w:hAnsiTheme="majorBidi" w:cstheme="majorBidi"/>
        </w:rPr>
        <w:t xml:space="preserve">soutenues du marché </w:t>
      </w:r>
      <w:r w:rsidRPr="00214EB3">
        <w:rPr>
          <w:rFonts w:asciiTheme="majorBidi" w:hAnsiTheme="majorBidi" w:cstheme="majorBidi"/>
        </w:rPr>
        <w:t>international au premier semestre 2016.</w:t>
      </w:r>
      <w:r>
        <w:rPr>
          <w:rFonts w:asciiTheme="majorBidi" w:hAnsiTheme="majorBidi" w:cstheme="majorBidi"/>
        </w:rPr>
        <w:t xml:space="preserve"> </w:t>
      </w:r>
      <w:r w:rsidRPr="00214EB3">
        <w:rPr>
          <w:rFonts w:asciiTheme="majorBidi" w:hAnsiTheme="majorBidi" w:cstheme="majorBidi"/>
        </w:rPr>
        <w:t xml:space="preserve">En revanche, les ventes locales </w:t>
      </w:r>
      <w:r>
        <w:rPr>
          <w:rFonts w:asciiTheme="majorBidi" w:hAnsiTheme="majorBidi" w:cstheme="majorBidi"/>
        </w:rPr>
        <w:t>ont</w:t>
      </w:r>
      <w:r w:rsidRPr="00214EB3">
        <w:rPr>
          <w:rFonts w:asciiTheme="majorBidi" w:hAnsiTheme="majorBidi" w:cstheme="majorBidi"/>
        </w:rPr>
        <w:t xml:space="preserve"> </w:t>
      </w:r>
      <w:r>
        <w:rPr>
          <w:rFonts w:asciiTheme="majorBidi" w:hAnsiTheme="majorBidi" w:cstheme="majorBidi"/>
        </w:rPr>
        <w:t>chuté</w:t>
      </w:r>
      <w:r w:rsidRPr="00214EB3">
        <w:rPr>
          <w:rFonts w:asciiTheme="majorBidi" w:hAnsiTheme="majorBidi" w:cstheme="majorBidi"/>
        </w:rPr>
        <w:t xml:space="preserve"> de 51,7%, en raison de la </w:t>
      </w:r>
      <w:r>
        <w:rPr>
          <w:rFonts w:asciiTheme="majorBidi" w:hAnsiTheme="majorBidi" w:cstheme="majorBidi"/>
        </w:rPr>
        <w:t>faiblesse</w:t>
      </w:r>
      <w:r w:rsidRPr="00214EB3">
        <w:rPr>
          <w:rFonts w:asciiTheme="majorBidi" w:hAnsiTheme="majorBidi" w:cstheme="majorBidi"/>
        </w:rPr>
        <w:t xml:space="preserve"> de</w:t>
      </w:r>
      <w:r>
        <w:rPr>
          <w:rFonts w:asciiTheme="majorBidi" w:hAnsiTheme="majorBidi" w:cstheme="majorBidi"/>
        </w:rPr>
        <w:t>s</w:t>
      </w:r>
      <w:r w:rsidRPr="00214EB3">
        <w:rPr>
          <w:rFonts w:asciiTheme="majorBidi" w:hAnsiTheme="majorBidi" w:cstheme="majorBidi"/>
        </w:rPr>
        <w:t xml:space="preserve"> consommation</w:t>
      </w:r>
      <w:r>
        <w:rPr>
          <w:rFonts w:asciiTheme="majorBidi" w:hAnsiTheme="majorBidi" w:cstheme="majorBidi"/>
        </w:rPr>
        <w:t>s</w:t>
      </w:r>
      <w:r w:rsidRPr="00214EB3">
        <w:rPr>
          <w:rFonts w:asciiTheme="majorBidi" w:hAnsiTheme="majorBidi" w:cstheme="majorBidi"/>
        </w:rPr>
        <w:t xml:space="preserve"> des ménages et de</w:t>
      </w:r>
      <w:r>
        <w:rPr>
          <w:rFonts w:asciiTheme="majorBidi" w:hAnsiTheme="majorBidi" w:cstheme="majorBidi"/>
        </w:rPr>
        <w:t>s entreprises de construction.</w:t>
      </w:r>
    </w:p>
    <w:p w:rsidR="008F715D" w:rsidRPr="00214EB3" w:rsidRDefault="008F715D" w:rsidP="008F715D">
      <w:pPr>
        <w:jc w:val="both"/>
        <w:rPr>
          <w:rFonts w:asciiTheme="majorBidi" w:hAnsiTheme="majorBidi" w:cstheme="majorBidi"/>
        </w:rPr>
      </w:pPr>
    </w:p>
    <w:p w:rsidR="008F715D" w:rsidRPr="00CA3A79" w:rsidRDefault="008F715D" w:rsidP="008F715D">
      <w:pPr>
        <w:pStyle w:val="yiv2296082366msolistparagraph"/>
        <w:spacing w:before="0" w:beforeAutospacing="0" w:after="0" w:afterAutospacing="0"/>
        <w:ind w:firstLine="1"/>
        <w:jc w:val="both"/>
        <w:rPr>
          <w:rFonts w:asciiTheme="majorBidi" w:hAnsiTheme="majorBidi" w:cstheme="majorBidi"/>
          <w:b/>
          <w:bCs/>
          <w:i/>
        </w:rPr>
      </w:pPr>
      <w:r w:rsidRPr="00CA3A79">
        <w:rPr>
          <w:rFonts w:asciiTheme="majorBidi" w:hAnsiTheme="majorBidi" w:cstheme="majorBidi"/>
          <w:b/>
          <w:bCs/>
          <w:i/>
        </w:rPr>
        <w:t>Evolution de l'activité de contreplaqué</w:t>
      </w:r>
    </w:p>
    <w:tbl>
      <w:tblPr>
        <w:tblW w:w="9087" w:type="dxa"/>
        <w:tblInd w:w="55" w:type="dxa"/>
        <w:tblLayout w:type="fixed"/>
        <w:tblCellMar>
          <w:left w:w="70" w:type="dxa"/>
          <w:right w:w="70" w:type="dxa"/>
        </w:tblCellMar>
        <w:tblLook w:val="04A0"/>
      </w:tblPr>
      <w:tblGrid>
        <w:gridCol w:w="4840"/>
        <w:gridCol w:w="1415"/>
        <w:gridCol w:w="1416"/>
        <w:gridCol w:w="1416"/>
      </w:tblGrid>
      <w:tr w:rsidR="008F715D" w:rsidRPr="00BD7F7B"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t>(en m3)</w:t>
            </w:r>
          </w:p>
        </w:tc>
        <w:tc>
          <w:tcPr>
            <w:tcW w:w="4247"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color w:val="000000"/>
                <w:szCs w:val="20"/>
              </w:rPr>
            </w:pPr>
            <w:r w:rsidRPr="00BD7F7B">
              <w:rPr>
                <w:color w:val="000000"/>
                <w:sz w:val="22"/>
                <w:szCs w:val="20"/>
              </w:rPr>
              <w:t>Premier semestre</w:t>
            </w:r>
          </w:p>
        </w:tc>
      </w:tr>
      <w:tr w:rsidR="008F715D" w:rsidRPr="00BD7F7B"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t> </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color w:val="000000"/>
                <w:szCs w:val="20"/>
              </w:rPr>
            </w:pPr>
            <w:r w:rsidRPr="00BD7F7B">
              <w:rPr>
                <w:color w:val="000000"/>
                <w:sz w:val="22"/>
                <w:szCs w:val="20"/>
              </w:rPr>
              <w:t>2015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color w:val="000000"/>
                <w:szCs w:val="20"/>
              </w:rPr>
            </w:pPr>
            <w:r w:rsidRPr="00BD7F7B">
              <w:rPr>
                <w:color w:val="000000"/>
                <w:sz w:val="22"/>
                <w:szCs w:val="20"/>
              </w:rPr>
              <w:t>2016</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Var 16/15</w:t>
            </w:r>
          </w:p>
        </w:tc>
      </w:tr>
      <w:tr w:rsidR="008F715D" w:rsidRPr="00BD7F7B"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t>Production</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27 369</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31 158</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13,8%</w:t>
            </w:r>
          </w:p>
        </w:tc>
      </w:tr>
      <w:tr w:rsidR="008F715D" w:rsidRPr="00BD7F7B"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t>Ventes locales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4 398</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2 125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color w:val="FF0000"/>
                <w:szCs w:val="20"/>
              </w:rPr>
            </w:pPr>
            <w:r w:rsidRPr="00BD7F7B">
              <w:rPr>
                <w:color w:val="FF0000"/>
                <w:sz w:val="22"/>
                <w:szCs w:val="20"/>
              </w:rPr>
              <w:t>-51,7%</w:t>
            </w:r>
          </w:p>
        </w:tc>
      </w:tr>
      <w:tr w:rsidR="008F715D" w:rsidRPr="00BD7F7B"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BD7F7B" w:rsidRDefault="008F715D" w:rsidP="002105A0">
            <w:pPr>
              <w:rPr>
                <w:color w:val="000000"/>
                <w:szCs w:val="20"/>
              </w:rPr>
            </w:pPr>
            <w:r w:rsidRPr="00BD7F7B">
              <w:rPr>
                <w:color w:val="000000"/>
                <w:sz w:val="22"/>
                <w:szCs w:val="20"/>
              </w:rPr>
              <w:t>Exportations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21 967</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26 888</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BD7F7B" w:rsidRDefault="008F715D" w:rsidP="002105A0">
            <w:pPr>
              <w:jc w:val="center"/>
              <w:rPr>
                <w:szCs w:val="20"/>
              </w:rPr>
            </w:pPr>
            <w:r w:rsidRPr="00BD7F7B">
              <w:rPr>
                <w:sz w:val="22"/>
                <w:szCs w:val="20"/>
              </w:rPr>
              <w:t>22,4%</w:t>
            </w:r>
          </w:p>
        </w:tc>
      </w:tr>
    </w:tbl>
    <w:p w:rsidR="008F715D" w:rsidRPr="007B56DA" w:rsidRDefault="008F715D" w:rsidP="008F715D">
      <w:pPr>
        <w:rPr>
          <w:rFonts w:asciiTheme="majorBidi" w:hAnsiTheme="majorBidi" w:cstheme="majorBidi"/>
          <w:b/>
          <w:bCs/>
          <w:i/>
          <w:sz w:val="16"/>
          <w:szCs w:val="16"/>
          <w:lang w:val="en-US"/>
        </w:rPr>
      </w:pPr>
      <w:r w:rsidRPr="007B56DA">
        <w:rPr>
          <w:rFonts w:asciiTheme="majorBidi" w:hAnsiTheme="majorBidi" w:cstheme="majorBidi"/>
          <w:b/>
          <w:bCs/>
          <w:i/>
          <w:sz w:val="16"/>
          <w:szCs w:val="16"/>
          <w:lang w:val="en-US"/>
        </w:rPr>
        <w:t>Sources: Cora Wood, Sheng Yang, Rougier Owendo, Otim Veener.</w:t>
      </w:r>
    </w:p>
    <w:p w:rsidR="008F715D" w:rsidRPr="00214EB3" w:rsidRDefault="008F715D" w:rsidP="008F715D">
      <w:pPr>
        <w:pStyle w:val="yiv2296082366msolistparagraph"/>
        <w:spacing w:before="0" w:beforeAutospacing="0" w:after="0" w:afterAutospacing="0"/>
        <w:rPr>
          <w:rFonts w:asciiTheme="majorBidi" w:hAnsiTheme="majorBidi" w:cstheme="majorBidi"/>
          <w:lang w:val="en-US"/>
        </w:rPr>
      </w:pPr>
    </w:p>
    <w:p w:rsidR="008F715D" w:rsidRPr="00651D8E" w:rsidRDefault="008F715D" w:rsidP="008F715D">
      <w:pPr>
        <w:pStyle w:val="Titre2"/>
        <w:rPr>
          <w:rFonts w:asciiTheme="majorBidi" w:hAnsiTheme="majorBidi" w:cstheme="majorBidi"/>
          <w:b/>
          <w:bCs/>
          <w:i w:val="0"/>
          <w:color w:val="0000FF"/>
          <w:sz w:val="24"/>
        </w:rPr>
      </w:pPr>
      <w:bookmarkStart w:id="91" w:name="_Toc397691608"/>
      <w:bookmarkStart w:id="92" w:name="_Toc420027522"/>
      <w:bookmarkStart w:id="93" w:name="_Toc462990824"/>
      <w:bookmarkEnd w:id="68"/>
      <w:bookmarkEnd w:id="69"/>
      <w:bookmarkEnd w:id="70"/>
      <w:bookmarkEnd w:id="71"/>
      <w:bookmarkEnd w:id="72"/>
      <w:r>
        <w:rPr>
          <w:rFonts w:asciiTheme="majorBidi" w:hAnsiTheme="majorBidi" w:cstheme="majorBidi"/>
          <w:b/>
          <w:bCs/>
          <w:i w:val="0"/>
          <w:color w:val="0000FF"/>
          <w:sz w:val="24"/>
        </w:rPr>
        <w:t>I</w:t>
      </w:r>
      <w:r w:rsidRPr="00651D8E">
        <w:rPr>
          <w:rFonts w:asciiTheme="majorBidi" w:hAnsiTheme="majorBidi" w:cstheme="majorBidi"/>
          <w:b/>
          <w:bCs/>
          <w:i w:val="0"/>
          <w:color w:val="0000FF"/>
          <w:sz w:val="24"/>
        </w:rPr>
        <w:t>I.</w:t>
      </w:r>
      <w:r>
        <w:rPr>
          <w:rFonts w:asciiTheme="majorBidi" w:hAnsiTheme="majorBidi" w:cstheme="majorBidi"/>
          <w:b/>
          <w:bCs/>
          <w:i w:val="0"/>
          <w:color w:val="0000FF"/>
          <w:sz w:val="24"/>
        </w:rPr>
        <w:t>9.</w:t>
      </w:r>
      <w:r w:rsidRPr="00651D8E">
        <w:rPr>
          <w:rFonts w:asciiTheme="majorBidi" w:hAnsiTheme="majorBidi" w:cstheme="majorBidi"/>
          <w:b/>
          <w:bCs/>
          <w:i w:val="0"/>
          <w:color w:val="0000FF"/>
          <w:sz w:val="24"/>
        </w:rPr>
        <w:t xml:space="preserve"> LES AUTRES INDUSTRIES DE TRANSFORMATION</w:t>
      </w:r>
      <w:bookmarkEnd w:id="91"/>
      <w:bookmarkEnd w:id="92"/>
      <w:bookmarkEnd w:id="93"/>
    </w:p>
    <w:p w:rsidR="008F715D" w:rsidRPr="00651D8E" w:rsidRDefault="008F715D" w:rsidP="008F715D">
      <w:pPr>
        <w:jc w:val="both"/>
        <w:rPr>
          <w:rFonts w:asciiTheme="majorBidi" w:hAnsiTheme="majorBidi" w:cstheme="majorBidi"/>
        </w:rPr>
      </w:pPr>
    </w:p>
    <w:p w:rsidR="008F715D" w:rsidRPr="00651D8E" w:rsidRDefault="008F715D" w:rsidP="008F715D">
      <w:pPr>
        <w:pStyle w:val="Titre3"/>
        <w:ind w:right="0" w:firstLine="0"/>
        <w:rPr>
          <w:rFonts w:asciiTheme="majorBidi" w:hAnsiTheme="majorBidi" w:cstheme="majorBidi"/>
          <w:b/>
          <w:bCs/>
          <w:i/>
          <w:iCs/>
          <w:color w:val="0000FF"/>
          <w:sz w:val="24"/>
        </w:rPr>
      </w:pPr>
      <w:bookmarkStart w:id="94" w:name="_Toc356891315"/>
      <w:bookmarkStart w:id="95" w:name="_Toc389653138"/>
      <w:bookmarkStart w:id="96" w:name="_Toc389653366"/>
      <w:bookmarkStart w:id="97" w:name="_Toc397691609"/>
      <w:bookmarkStart w:id="98" w:name="_Toc420027523"/>
      <w:bookmarkStart w:id="99" w:name="_Toc462990825"/>
      <w:r>
        <w:rPr>
          <w:rFonts w:asciiTheme="majorBidi" w:hAnsiTheme="majorBidi" w:cstheme="majorBidi"/>
          <w:b/>
          <w:bCs/>
          <w:i/>
          <w:iCs/>
          <w:color w:val="0000FF"/>
          <w:sz w:val="24"/>
        </w:rPr>
        <w:t>I</w:t>
      </w:r>
      <w:r w:rsidRPr="00651D8E">
        <w:rPr>
          <w:rFonts w:asciiTheme="majorBidi" w:hAnsiTheme="majorBidi" w:cstheme="majorBidi"/>
          <w:b/>
          <w:bCs/>
          <w:i/>
          <w:iCs/>
          <w:color w:val="0000FF"/>
          <w:sz w:val="24"/>
        </w:rPr>
        <w:t>I.</w:t>
      </w:r>
      <w:r>
        <w:rPr>
          <w:rFonts w:asciiTheme="majorBidi" w:hAnsiTheme="majorBidi" w:cstheme="majorBidi"/>
          <w:b/>
          <w:bCs/>
          <w:i/>
          <w:iCs/>
          <w:color w:val="0000FF"/>
          <w:sz w:val="24"/>
        </w:rPr>
        <w:t>9</w:t>
      </w:r>
      <w:r w:rsidRPr="00651D8E">
        <w:rPr>
          <w:rFonts w:asciiTheme="majorBidi" w:hAnsiTheme="majorBidi" w:cstheme="majorBidi"/>
          <w:b/>
          <w:bCs/>
          <w:i/>
          <w:iCs/>
          <w:color w:val="0000FF"/>
          <w:sz w:val="24"/>
        </w:rPr>
        <w:t>.1</w:t>
      </w:r>
      <w:r>
        <w:rPr>
          <w:rFonts w:asciiTheme="majorBidi" w:hAnsiTheme="majorBidi" w:cstheme="majorBidi"/>
          <w:b/>
          <w:bCs/>
          <w:i/>
          <w:iCs/>
          <w:color w:val="0000FF"/>
          <w:sz w:val="24"/>
        </w:rPr>
        <w:t>.</w:t>
      </w:r>
      <w:r w:rsidRPr="00651D8E">
        <w:rPr>
          <w:rFonts w:asciiTheme="majorBidi" w:hAnsiTheme="majorBidi" w:cstheme="majorBidi"/>
          <w:b/>
          <w:bCs/>
          <w:i/>
          <w:iCs/>
          <w:color w:val="0000FF"/>
          <w:sz w:val="24"/>
        </w:rPr>
        <w:t xml:space="preserve"> La chimie</w:t>
      </w:r>
      <w:bookmarkEnd w:id="94"/>
      <w:bookmarkEnd w:id="95"/>
      <w:bookmarkEnd w:id="96"/>
      <w:bookmarkEnd w:id="97"/>
      <w:bookmarkEnd w:id="98"/>
      <w:bookmarkEnd w:id="99"/>
    </w:p>
    <w:p w:rsidR="008F715D" w:rsidRPr="00651D8E" w:rsidRDefault="008F715D" w:rsidP="008F715D">
      <w:pPr>
        <w:rPr>
          <w:rFonts w:asciiTheme="majorBidi" w:hAnsiTheme="majorBidi" w:cstheme="majorBidi"/>
        </w:rPr>
      </w:pPr>
    </w:p>
    <w:p w:rsidR="008F715D" w:rsidRPr="00651D8E" w:rsidRDefault="008F715D" w:rsidP="008F715D">
      <w:pPr>
        <w:pStyle w:val="Paragraphedeliste"/>
        <w:numPr>
          <w:ilvl w:val="0"/>
          <w:numId w:val="2"/>
        </w:numPr>
        <w:spacing w:after="0" w:line="240" w:lineRule="auto"/>
        <w:jc w:val="both"/>
        <w:rPr>
          <w:rFonts w:asciiTheme="majorBidi" w:eastAsia="Times New Roman" w:hAnsiTheme="majorBidi" w:cstheme="majorBidi"/>
          <w:b/>
          <w:bCs/>
          <w:i/>
          <w:iCs/>
          <w:color w:val="0000FF"/>
          <w:sz w:val="24"/>
          <w:szCs w:val="24"/>
          <w:lang w:eastAsia="fr-FR"/>
        </w:rPr>
      </w:pPr>
      <w:bookmarkStart w:id="100" w:name="_Toc63511800"/>
      <w:bookmarkStart w:id="101" w:name="_Toc77665749"/>
      <w:bookmarkStart w:id="102" w:name="_Toc356891316"/>
      <w:bookmarkStart w:id="103" w:name="_Toc389653139"/>
      <w:bookmarkStart w:id="104" w:name="_Toc389653367"/>
      <w:r w:rsidRPr="00651D8E">
        <w:rPr>
          <w:rFonts w:asciiTheme="majorBidi" w:eastAsia="Times New Roman" w:hAnsiTheme="majorBidi" w:cstheme="majorBidi"/>
          <w:b/>
          <w:bCs/>
          <w:i/>
          <w:iCs/>
          <w:color w:val="0000FF"/>
          <w:sz w:val="24"/>
          <w:szCs w:val="24"/>
          <w:lang w:eastAsia="fr-FR"/>
        </w:rPr>
        <w:t>Les peintures</w:t>
      </w:r>
      <w:bookmarkEnd w:id="100"/>
      <w:bookmarkEnd w:id="101"/>
      <w:bookmarkEnd w:id="102"/>
      <w:bookmarkEnd w:id="103"/>
      <w:bookmarkEnd w:id="104"/>
    </w:p>
    <w:p w:rsidR="008F715D" w:rsidRPr="00651D8E"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rPr>
      </w:pPr>
      <w:r>
        <w:rPr>
          <w:rFonts w:asciiTheme="majorBidi" w:hAnsiTheme="majorBidi" w:cstheme="majorBidi"/>
        </w:rPr>
        <w:t>La fabri</w:t>
      </w:r>
      <w:r w:rsidRPr="00BE7CE7">
        <w:rPr>
          <w:rFonts w:asciiTheme="majorBidi" w:hAnsiTheme="majorBidi" w:cstheme="majorBidi"/>
        </w:rPr>
        <w:t>c</w:t>
      </w:r>
      <w:r>
        <w:rPr>
          <w:rFonts w:asciiTheme="majorBidi" w:hAnsiTheme="majorBidi" w:cstheme="majorBidi"/>
        </w:rPr>
        <w:t>a</w:t>
      </w:r>
      <w:r w:rsidRPr="00BE7CE7">
        <w:rPr>
          <w:rFonts w:asciiTheme="majorBidi" w:hAnsiTheme="majorBidi" w:cstheme="majorBidi"/>
        </w:rPr>
        <w:t xml:space="preserve">tion des peintures </w:t>
      </w:r>
      <w:r>
        <w:rPr>
          <w:rFonts w:asciiTheme="majorBidi" w:hAnsiTheme="majorBidi" w:cstheme="majorBidi"/>
        </w:rPr>
        <w:t>s’</w:t>
      </w:r>
      <w:r w:rsidRPr="00BE7CE7">
        <w:rPr>
          <w:rFonts w:asciiTheme="majorBidi" w:hAnsiTheme="majorBidi" w:cstheme="majorBidi"/>
        </w:rPr>
        <w:t xml:space="preserve">est </w:t>
      </w:r>
      <w:r>
        <w:rPr>
          <w:rFonts w:asciiTheme="majorBidi" w:hAnsiTheme="majorBidi" w:cstheme="majorBidi"/>
        </w:rPr>
        <w:t>caractérisée par des résultats mitigés au cours des six premiers mois de 2016. En effet, la production a augmenté de 16,2% pour atteindre</w:t>
      </w:r>
      <w:r w:rsidRPr="00BE7CE7">
        <w:rPr>
          <w:rFonts w:asciiTheme="majorBidi" w:hAnsiTheme="majorBidi" w:cstheme="majorBidi"/>
        </w:rPr>
        <w:t xml:space="preserve"> 2 300 tonnes.</w:t>
      </w:r>
      <w:r>
        <w:rPr>
          <w:rFonts w:asciiTheme="majorBidi" w:hAnsiTheme="majorBidi" w:cstheme="majorBidi"/>
        </w:rPr>
        <w:t xml:space="preserve"> A l’inverse, le</w:t>
      </w:r>
      <w:r w:rsidRPr="00BE7CE7">
        <w:rPr>
          <w:rFonts w:asciiTheme="majorBidi" w:hAnsiTheme="majorBidi" w:cstheme="majorBidi"/>
        </w:rPr>
        <w:t xml:space="preserve"> chiffre d’affaires </w:t>
      </w:r>
      <w:r>
        <w:rPr>
          <w:rFonts w:asciiTheme="majorBidi" w:hAnsiTheme="majorBidi" w:cstheme="majorBidi"/>
        </w:rPr>
        <w:t xml:space="preserve">a </w:t>
      </w:r>
      <w:r w:rsidRPr="00BE7CE7">
        <w:rPr>
          <w:rFonts w:asciiTheme="majorBidi" w:hAnsiTheme="majorBidi" w:cstheme="majorBidi"/>
        </w:rPr>
        <w:t>recul</w:t>
      </w:r>
      <w:r>
        <w:rPr>
          <w:rFonts w:asciiTheme="majorBidi" w:hAnsiTheme="majorBidi" w:cstheme="majorBidi"/>
        </w:rPr>
        <w:t>é</w:t>
      </w:r>
      <w:r w:rsidRPr="00BE7CE7">
        <w:rPr>
          <w:rFonts w:asciiTheme="majorBidi" w:hAnsiTheme="majorBidi" w:cstheme="majorBidi"/>
        </w:rPr>
        <w:t xml:space="preserve"> de 9,3% à 4</w:t>
      </w:r>
      <w:r>
        <w:rPr>
          <w:rFonts w:asciiTheme="majorBidi" w:hAnsiTheme="majorBidi" w:cstheme="majorBidi"/>
        </w:rPr>
        <w:t>,</w:t>
      </w:r>
      <w:r w:rsidRPr="00BE7CE7">
        <w:rPr>
          <w:rFonts w:asciiTheme="majorBidi" w:hAnsiTheme="majorBidi" w:cstheme="majorBidi"/>
        </w:rPr>
        <w:t>2 milli</w:t>
      </w:r>
      <w:r>
        <w:rPr>
          <w:rFonts w:asciiTheme="majorBidi" w:hAnsiTheme="majorBidi" w:cstheme="majorBidi"/>
        </w:rPr>
        <w:t>ard</w:t>
      </w:r>
      <w:r w:rsidRPr="00BE7CE7">
        <w:rPr>
          <w:rFonts w:asciiTheme="majorBidi" w:hAnsiTheme="majorBidi" w:cstheme="majorBidi"/>
        </w:rPr>
        <w:t xml:space="preserve">s de </w:t>
      </w:r>
      <w:r>
        <w:rPr>
          <w:rFonts w:asciiTheme="majorBidi" w:hAnsiTheme="majorBidi" w:cstheme="majorBidi"/>
        </w:rPr>
        <w:t>FCFA,</w:t>
      </w:r>
      <w:r w:rsidRPr="00BE7CE7">
        <w:rPr>
          <w:rFonts w:asciiTheme="majorBidi" w:hAnsiTheme="majorBidi" w:cstheme="majorBidi"/>
        </w:rPr>
        <w:t xml:space="preserve"> du fait de la </w:t>
      </w:r>
      <w:r>
        <w:rPr>
          <w:rFonts w:asciiTheme="majorBidi" w:hAnsiTheme="majorBidi" w:cstheme="majorBidi"/>
        </w:rPr>
        <w:t>contraction</w:t>
      </w:r>
      <w:r w:rsidRPr="00BE7CE7">
        <w:rPr>
          <w:rFonts w:asciiTheme="majorBidi" w:hAnsiTheme="majorBidi" w:cstheme="majorBidi"/>
        </w:rPr>
        <w:t xml:space="preserve"> </w:t>
      </w:r>
      <w:r>
        <w:rPr>
          <w:rFonts w:asciiTheme="majorBidi" w:hAnsiTheme="majorBidi" w:cstheme="majorBidi"/>
        </w:rPr>
        <w:t>des quantités vendues suite à la faiblesse des commandes des principaux clients industriels</w:t>
      </w:r>
      <w:r w:rsidRPr="00BE7CE7">
        <w:rPr>
          <w:rFonts w:asciiTheme="majorBidi" w:hAnsiTheme="majorBidi" w:cstheme="majorBidi"/>
        </w:rPr>
        <w:t>.</w:t>
      </w:r>
    </w:p>
    <w:p w:rsidR="008F715D" w:rsidRPr="00BE7CE7"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b/>
          <w:bCs/>
          <w:i/>
          <w:iCs/>
        </w:rPr>
      </w:pPr>
      <w:r w:rsidRPr="00CB1F5B">
        <w:rPr>
          <w:rFonts w:asciiTheme="majorBidi" w:hAnsiTheme="majorBidi" w:cstheme="majorBidi"/>
          <w:b/>
          <w:bCs/>
          <w:i/>
          <w:iCs/>
        </w:rPr>
        <w:t>Evolution de l’activité des peintures</w:t>
      </w:r>
    </w:p>
    <w:tbl>
      <w:tblPr>
        <w:tblW w:w="8946" w:type="dxa"/>
        <w:tblInd w:w="55" w:type="dxa"/>
        <w:tblLayout w:type="fixed"/>
        <w:tblCellMar>
          <w:left w:w="70" w:type="dxa"/>
          <w:right w:w="70" w:type="dxa"/>
        </w:tblCellMar>
        <w:tblLook w:val="04A0"/>
      </w:tblPr>
      <w:tblGrid>
        <w:gridCol w:w="4840"/>
        <w:gridCol w:w="1368"/>
        <w:gridCol w:w="1369"/>
        <w:gridCol w:w="1369"/>
      </w:tblGrid>
      <w:tr w:rsidR="008F715D" w:rsidRPr="00DC098F"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DC098F" w:rsidRDefault="008F715D" w:rsidP="002105A0">
            <w:pPr>
              <w:rPr>
                <w:color w:val="000000"/>
              </w:rPr>
            </w:pPr>
          </w:p>
        </w:tc>
        <w:tc>
          <w:tcPr>
            <w:tcW w:w="4106"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000000"/>
              </w:rPr>
            </w:pPr>
            <w:r w:rsidRPr="00DC098F">
              <w:rPr>
                <w:color w:val="000000"/>
                <w:szCs w:val="22"/>
              </w:rPr>
              <w:t>Premier semestre</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000000"/>
              </w:rPr>
            </w:pPr>
            <w:r w:rsidRPr="00DC098F">
              <w:rPr>
                <w:color w:val="000000"/>
                <w:szCs w:val="22"/>
              </w:rPr>
              <w:t>2015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000000"/>
              </w:rPr>
            </w:pPr>
            <w:r w:rsidRPr="00DC098F">
              <w:rPr>
                <w:color w:val="000000"/>
                <w:szCs w:val="22"/>
              </w:rPr>
              <w:t>2016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Var 16/15</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Production (en tonnes)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1 979,1</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2 299,8</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16,2%</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Chiffre d’affaires (en millions de FCFA)</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4 664,9</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4 231,8</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FF0000"/>
              </w:rPr>
            </w:pPr>
            <w:r w:rsidRPr="00DC098F">
              <w:rPr>
                <w:color w:val="FF0000"/>
                <w:szCs w:val="22"/>
              </w:rPr>
              <w:t>-9,3%</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Masse salariale (en millions de FCFA)</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578,2</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405,7</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FF0000"/>
              </w:rPr>
            </w:pPr>
            <w:r w:rsidRPr="00DC098F">
              <w:rPr>
                <w:color w:val="FF0000"/>
                <w:szCs w:val="22"/>
              </w:rPr>
              <w:t>-29,8%</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Effectifs (en nombre)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69</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74</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7,2%</w:t>
            </w:r>
          </w:p>
        </w:tc>
      </w:tr>
    </w:tbl>
    <w:p w:rsidR="008F715D" w:rsidRPr="00651D8E" w:rsidRDefault="008F715D" w:rsidP="008F715D">
      <w:pPr>
        <w:jc w:val="both"/>
        <w:rPr>
          <w:rFonts w:asciiTheme="majorBidi" w:hAnsiTheme="majorBidi" w:cstheme="majorBidi"/>
          <w:bCs/>
          <w:sz w:val="20"/>
          <w:szCs w:val="20"/>
        </w:rPr>
      </w:pPr>
      <w:r w:rsidRPr="00651D8E">
        <w:rPr>
          <w:rFonts w:asciiTheme="majorBidi" w:eastAsiaTheme="minorHAnsi" w:hAnsiTheme="majorBidi" w:cstheme="majorBidi"/>
          <w:b/>
          <w:bCs/>
          <w:i/>
          <w:sz w:val="16"/>
          <w:szCs w:val="16"/>
        </w:rPr>
        <w:t>Sources : GPL, Chimie Gabon</w:t>
      </w:r>
    </w:p>
    <w:p w:rsidR="008F715D" w:rsidRPr="00651D8E" w:rsidRDefault="008F715D" w:rsidP="008F715D">
      <w:pPr>
        <w:jc w:val="both"/>
        <w:rPr>
          <w:rFonts w:asciiTheme="majorBidi" w:hAnsiTheme="majorBidi" w:cstheme="majorBidi"/>
        </w:rPr>
      </w:pPr>
    </w:p>
    <w:p w:rsidR="008F715D" w:rsidRPr="00651D8E" w:rsidRDefault="008F715D" w:rsidP="008F715D">
      <w:pPr>
        <w:pStyle w:val="Paragraphedeliste"/>
        <w:numPr>
          <w:ilvl w:val="0"/>
          <w:numId w:val="2"/>
        </w:numPr>
        <w:spacing w:after="0" w:line="240" w:lineRule="auto"/>
        <w:jc w:val="both"/>
        <w:rPr>
          <w:rFonts w:asciiTheme="majorBidi" w:eastAsia="Times New Roman" w:hAnsiTheme="majorBidi" w:cstheme="majorBidi"/>
          <w:b/>
          <w:bCs/>
          <w:i/>
          <w:iCs/>
          <w:color w:val="0000FF"/>
          <w:sz w:val="24"/>
          <w:szCs w:val="24"/>
          <w:lang w:eastAsia="fr-FR"/>
        </w:rPr>
      </w:pPr>
      <w:bookmarkStart w:id="105" w:name="_Toc389653140"/>
      <w:bookmarkStart w:id="106" w:name="_Toc389653368"/>
      <w:r w:rsidRPr="00651D8E">
        <w:rPr>
          <w:rFonts w:asciiTheme="majorBidi" w:eastAsia="Times New Roman" w:hAnsiTheme="majorBidi" w:cstheme="majorBidi"/>
          <w:b/>
          <w:bCs/>
          <w:i/>
          <w:iCs/>
          <w:color w:val="0000FF"/>
          <w:sz w:val="24"/>
          <w:szCs w:val="24"/>
          <w:lang w:eastAsia="fr-FR"/>
        </w:rPr>
        <w:t>Les lubrifiants</w:t>
      </w:r>
      <w:bookmarkEnd w:id="105"/>
      <w:bookmarkEnd w:id="106"/>
    </w:p>
    <w:p w:rsidR="008F715D" w:rsidRPr="00651D8E" w:rsidRDefault="008F715D" w:rsidP="008F715D">
      <w:pPr>
        <w:jc w:val="both"/>
      </w:pPr>
    </w:p>
    <w:p w:rsidR="008F715D" w:rsidRPr="00466EDA" w:rsidRDefault="008F715D" w:rsidP="008F715D">
      <w:pPr>
        <w:jc w:val="both"/>
        <w:rPr>
          <w:rFonts w:asciiTheme="majorBidi" w:hAnsiTheme="majorBidi" w:cstheme="majorBidi"/>
        </w:rPr>
      </w:pPr>
      <w:r w:rsidRPr="00BE7CE7">
        <w:rPr>
          <w:rFonts w:asciiTheme="majorBidi" w:hAnsiTheme="majorBidi" w:cstheme="majorBidi"/>
        </w:rPr>
        <w:lastRenderedPageBreak/>
        <w:t xml:space="preserve">La production des lubrifiants </w:t>
      </w:r>
      <w:r>
        <w:rPr>
          <w:rFonts w:asciiTheme="majorBidi" w:hAnsiTheme="majorBidi" w:cstheme="majorBidi"/>
        </w:rPr>
        <w:t xml:space="preserve">a progressé </w:t>
      </w:r>
      <w:r w:rsidRPr="00BE7CE7">
        <w:rPr>
          <w:rFonts w:asciiTheme="majorBidi" w:hAnsiTheme="majorBidi" w:cstheme="majorBidi"/>
        </w:rPr>
        <w:t xml:space="preserve">de 23,3% </w:t>
      </w:r>
      <w:r>
        <w:rPr>
          <w:rFonts w:asciiTheme="majorBidi" w:hAnsiTheme="majorBidi" w:cstheme="majorBidi"/>
        </w:rPr>
        <w:t xml:space="preserve">à fin juin 2016, </w:t>
      </w:r>
      <w:r w:rsidRPr="00BE7CE7">
        <w:rPr>
          <w:rFonts w:asciiTheme="majorBidi" w:hAnsiTheme="majorBidi" w:cstheme="majorBidi"/>
        </w:rPr>
        <w:t>passant de 1 337,2 tonnes au 30 juin 2015 à 1 649 tonnes au 30 juin 2016</w:t>
      </w:r>
      <w:r>
        <w:rPr>
          <w:rFonts w:asciiTheme="majorBidi" w:hAnsiTheme="majorBidi" w:cstheme="majorBidi"/>
        </w:rPr>
        <w:t>,</w:t>
      </w:r>
      <w:r w:rsidRPr="00BE7CE7">
        <w:rPr>
          <w:rFonts w:asciiTheme="majorBidi" w:hAnsiTheme="majorBidi" w:cstheme="majorBidi"/>
        </w:rPr>
        <w:t xml:space="preserve"> sous l’effet de la </w:t>
      </w:r>
      <w:r>
        <w:rPr>
          <w:rFonts w:asciiTheme="majorBidi" w:hAnsiTheme="majorBidi" w:cstheme="majorBidi"/>
        </w:rPr>
        <w:t>vitalité</w:t>
      </w:r>
      <w:r w:rsidRPr="00BE7CE7">
        <w:rPr>
          <w:rFonts w:asciiTheme="majorBidi" w:hAnsiTheme="majorBidi" w:cstheme="majorBidi"/>
        </w:rPr>
        <w:t xml:space="preserve"> des commandes</w:t>
      </w:r>
      <w:r>
        <w:rPr>
          <w:rFonts w:asciiTheme="majorBidi" w:hAnsiTheme="majorBidi" w:cstheme="majorBidi"/>
        </w:rPr>
        <w:t xml:space="preserve"> des marqueteurs nationaux</w:t>
      </w:r>
      <w:r w:rsidRPr="00BE7CE7">
        <w:rPr>
          <w:rFonts w:asciiTheme="majorBidi" w:hAnsiTheme="majorBidi" w:cstheme="majorBidi"/>
        </w:rPr>
        <w:t>.</w:t>
      </w:r>
      <w:r>
        <w:rPr>
          <w:rFonts w:asciiTheme="majorBidi" w:hAnsiTheme="majorBidi" w:cstheme="majorBidi"/>
        </w:rPr>
        <w:t xml:space="preserve"> A contrario, suite à la morosité de l’activité de la filière huile et corps gras, la production des emballages a chuté de 72,3%. Dans ce contexte, l</w:t>
      </w:r>
      <w:r w:rsidRPr="00BE7CE7">
        <w:rPr>
          <w:rFonts w:asciiTheme="majorBidi" w:hAnsiTheme="majorBidi" w:cstheme="majorBidi"/>
        </w:rPr>
        <w:t xml:space="preserve">e chiffre d’affaires </w:t>
      </w:r>
      <w:r>
        <w:rPr>
          <w:rFonts w:asciiTheme="majorBidi" w:hAnsiTheme="majorBidi" w:cstheme="majorBidi"/>
        </w:rPr>
        <w:t xml:space="preserve">a </w:t>
      </w:r>
      <w:r w:rsidRPr="00BE7CE7">
        <w:rPr>
          <w:rFonts w:asciiTheme="majorBidi" w:hAnsiTheme="majorBidi" w:cstheme="majorBidi"/>
        </w:rPr>
        <w:t>enregistr</w:t>
      </w:r>
      <w:r>
        <w:rPr>
          <w:rFonts w:asciiTheme="majorBidi" w:hAnsiTheme="majorBidi" w:cstheme="majorBidi"/>
        </w:rPr>
        <w:t>é</w:t>
      </w:r>
      <w:r w:rsidRPr="00BE7CE7">
        <w:rPr>
          <w:rFonts w:asciiTheme="majorBidi" w:hAnsiTheme="majorBidi" w:cstheme="majorBidi"/>
        </w:rPr>
        <w:t xml:space="preserve"> une </w:t>
      </w:r>
      <w:r>
        <w:rPr>
          <w:rFonts w:asciiTheme="majorBidi" w:hAnsiTheme="majorBidi" w:cstheme="majorBidi"/>
        </w:rPr>
        <w:t>hausse</w:t>
      </w:r>
      <w:r w:rsidRPr="00BE7CE7">
        <w:rPr>
          <w:rFonts w:asciiTheme="majorBidi" w:hAnsiTheme="majorBidi" w:cstheme="majorBidi"/>
        </w:rPr>
        <w:t xml:space="preserve"> de 15,2% pour se situer à </w:t>
      </w:r>
      <w:r>
        <w:rPr>
          <w:rFonts w:asciiTheme="majorBidi" w:hAnsiTheme="majorBidi" w:cstheme="majorBidi"/>
        </w:rPr>
        <w:t>2,3</w:t>
      </w:r>
      <w:r w:rsidRPr="00BE7CE7">
        <w:rPr>
          <w:rFonts w:asciiTheme="majorBidi" w:hAnsiTheme="majorBidi" w:cstheme="majorBidi"/>
        </w:rPr>
        <w:t xml:space="preserve"> milli</w:t>
      </w:r>
      <w:r>
        <w:rPr>
          <w:rFonts w:asciiTheme="majorBidi" w:hAnsiTheme="majorBidi" w:cstheme="majorBidi"/>
        </w:rPr>
        <w:t>ard</w:t>
      </w:r>
      <w:r w:rsidRPr="00BE7CE7">
        <w:rPr>
          <w:rFonts w:asciiTheme="majorBidi" w:hAnsiTheme="majorBidi" w:cstheme="majorBidi"/>
        </w:rPr>
        <w:t>s de FCFA.</w:t>
      </w:r>
    </w:p>
    <w:p w:rsidR="008F715D" w:rsidRPr="00BE7CE7"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rPr>
      </w:pPr>
      <w:r>
        <w:rPr>
          <w:rFonts w:asciiTheme="majorBidi" w:hAnsiTheme="majorBidi" w:cstheme="majorBidi"/>
        </w:rPr>
        <w:t xml:space="preserve">Au niveau de l’emploi, la réduction des effectifs de 11,6% s’est traduite par un repli de la masse </w:t>
      </w:r>
      <w:r w:rsidRPr="00BE7CE7">
        <w:rPr>
          <w:rFonts w:asciiTheme="majorBidi" w:hAnsiTheme="majorBidi" w:cstheme="majorBidi"/>
        </w:rPr>
        <w:t xml:space="preserve">salariale </w:t>
      </w:r>
      <w:r>
        <w:rPr>
          <w:rFonts w:asciiTheme="majorBidi" w:hAnsiTheme="majorBidi" w:cstheme="majorBidi"/>
        </w:rPr>
        <w:t>à 205 millions de FCFA</w:t>
      </w:r>
      <w:r w:rsidRPr="00BE7CE7">
        <w:rPr>
          <w:rFonts w:asciiTheme="majorBidi" w:hAnsiTheme="majorBidi" w:cstheme="majorBidi"/>
        </w:rPr>
        <w:t xml:space="preserve">. </w:t>
      </w:r>
    </w:p>
    <w:p w:rsidR="008F715D" w:rsidRPr="00CB1F5B"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b/>
          <w:bCs/>
          <w:i/>
          <w:iCs/>
        </w:rPr>
      </w:pPr>
      <w:r w:rsidRPr="00CB1F5B">
        <w:rPr>
          <w:rFonts w:asciiTheme="majorBidi" w:hAnsiTheme="majorBidi" w:cstheme="majorBidi"/>
          <w:b/>
          <w:bCs/>
          <w:i/>
          <w:iCs/>
        </w:rPr>
        <w:t>Evolution de l’activité des lubrifiants</w:t>
      </w:r>
    </w:p>
    <w:tbl>
      <w:tblPr>
        <w:tblW w:w="9087" w:type="dxa"/>
        <w:tblInd w:w="55" w:type="dxa"/>
        <w:tblLayout w:type="fixed"/>
        <w:tblCellMar>
          <w:left w:w="70" w:type="dxa"/>
          <w:right w:w="70" w:type="dxa"/>
        </w:tblCellMar>
        <w:tblLook w:val="04A0"/>
      </w:tblPr>
      <w:tblGrid>
        <w:gridCol w:w="4840"/>
        <w:gridCol w:w="1415"/>
        <w:gridCol w:w="1416"/>
        <w:gridCol w:w="1416"/>
      </w:tblGrid>
      <w:tr w:rsidR="008F715D" w:rsidRPr="00DC098F"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DC098F" w:rsidRDefault="008F715D" w:rsidP="002105A0">
            <w:pPr>
              <w:rPr>
                <w:color w:val="000000"/>
              </w:rPr>
            </w:pPr>
          </w:p>
        </w:tc>
        <w:tc>
          <w:tcPr>
            <w:tcW w:w="4247"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000000"/>
              </w:rPr>
            </w:pPr>
            <w:r w:rsidRPr="00DC098F">
              <w:rPr>
                <w:color w:val="000000"/>
                <w:szCs w:val="22"/>
              </w:rPr>
              <w:t>Premier semestre</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 </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000000"/>
              </w:rPr>
            </w:pPr>
            <w:r w:rsidRPr="00DC098F">
              <w:rPr>
                <w:color w:val="000000"/>
                <w:szCs w:val="22"/>
              </w:rPr>
              <w:t>2015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000000"/>
              </w:rPr>
            </w:pPr>
            <w:r w:rsidRPr="00DC098F">
              <w:rPr>
                <w:color w:val="000000"/>
                <w:szCs w:val="22"/>
              </w:rPr>
              <w:t>2016</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Var 16/15</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Productions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000000"/>
              </w:rPr>
            </w:pPr>
            <w:r w:rsidRPr="00DC098F">
              <w:rPr>
                <w:color w:val="000000"/>
                <w:szCs w:val="22"/>
              </w:rPr>
              <w:t> </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000000"/>
              </w:rPr>
            </w:pPr>
            <w:r w:rsidRPr="00DC098F">
              <w:rPr>
                <w:color w:val="000000"/>
                <w:szCs w:val="22"/>
              </w:rPr>
              <w:t> </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 </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 xml:space="preserve">   Lubrifiants (en tonnes)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1 337</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1 649</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23,3%</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r w:rsidRPr="00DC098F">
              <w:rPr>
                <w:szCs w:val="22"/>
              </w:rPr>
              <w:t xml:space="preserve">   Emballages</w:t>
            </w:r>
            <w:r w:rsidRPr="00DC098F">
              <w:rPr>
                <w:color w:val="000000"/>
                <w:szCs w:val="22"/>
              </w:rPr>
              <w:t xml:space="preserve"> (en unités)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89 162</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24 692</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FF0000"/>
              </w:rPr>
            </w:pPr>
            <w:r w:rsidRPr="00DC098F">
              <w:rPr>
                <w:color w:val="FF0000"/>
                <w:szCs w:val="22"/>
              </w:rPr>
              <w:t>-72,3%</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Chiffre d’affaires (en millions de FCFA)</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2 002</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2 306</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15,2%</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Effectifs (nombre d'agents)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43</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38</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FF0000"/>
              </w:rPr>
            </w:pPr>
            <w:r w:rsidRPr="00DC098F">
              <w:rPr>
                <w:color w:val="FF0000"/>
                <w:szCs w:val="22"/>
              </w:rPr>
              <w:t>-11,6%</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 xml:space="preserve">Masse salariale (en millions de FCFA) </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358</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205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FF0000"/>
              </w:rPr>
            </w:pPr>
            <w:r w:rsidRPr="00DC098F">
              <w:rPr>
                <w:color w:val="FF0000"/>
                <w:szCs w:val="22"/>
              </w:rPr>
              <w:t>-42,6%</w:t>
            </w:r>
          </w:p>
        </w:tc>
      </w:tr>
    </w:tbl>
    <w:p w:rsidR="008F715D" w:rsidRPr="00651D8E" w:rsidRDefault="008F715D" w:rsidP="008F715D">
      <w:pPr>
        <w:jc w:val="both"/>
        <w:rPr>
          <w:rFonts w:asciiTheme="majorBidi" w:hAnsiTheme="majorBidi" w:cstheme="majorBidi"/>
          <w:b/>
          <w:bCs/>
          <w:i/>
          <w:sz w:val="16"/>
          <w:szCs w:val="16"/>
        </w:rPr>
      </w:pPr>
      <w:r w:rsidRPr="00651D8E">
        <w:rPr>
          <w:rFonts w:asciiTheme="majorBidi" w:eastAsiaTheme="minorHAnsi" w:hAnsiTheme="majorBidi" w:cstheme="majorBidi"/>
          <w:b/>
          <w:bCs/>
          <w:i/>
          <w:sz w:val="16"/>
          <w:szCs w:val="16"/>
        </w:rPr>
        <w:t>Source : PIZOLUB</w:t>
      </w:r>
    </w:p>
    <w:p w:rsidR="008F715D" w:rsidRPr="00651D8E" w:rsidRDefault="008F715D" w:rsidP="008F715D">
      <w:pPr>
        <w:jc w:val="both"/>
        <w:rPr>
          <w:rFonts w:asciiTheme="majorBidi" w:hAnsiTheme="majorBidi" w:cstheme="majorBidi"/>
        </w:rPr>
      </w:pPr>
    </w:p>
    <w:p w:rsidR="008F715D" w:rsidRPr="00651D8E" w:rsidRDefault="008F715D" w:rsidP="008F715D">
      <w:pPr>
        <w:pStyle w:val="Paragraphedeliste"/>
        <w:numPr>
          <w:ilvl w:val="0"/>
          <w:numId w:val="2"/>
        </w:numPr>
        <w:spacing w:after="0" w:line="240" w:lineRule="auto"/>
        <w:jc w:val="both"/>
        <w:rPr>
          <w:rFonts w:asciiTheme="majorBidi" w:eastAsia="Times New Roman" w:hAnsiTheme="majorBidi" w:cstheme="majorBidi"/>
          <w:b/>
          <w:bCs/>
          <w:i/>
          <w:iCs/>
          <w:color w:val="0000FF"/>
          <w:sz w:val="24"/>
          <w:szCs w:val="24"/>
          <w:lang w:eastAsia="fr-FR"/>
        </w:rPr>
      </w:pPr>
      <w:r w:rsidRPr="00651D8E">
        <w:rPr>
          <w:rFonts w:asciiTheme="majorBidi" w:eastAsia="Times New Roman" w:hAnsiTheme="majorBidi" w:cstheme="majorBidi"/>
          <w:b/>
          <w:bCs/>
          <w:i/>
          <w:iCs/>
          <w:color w:val="0000FF"/>
          <w:sz w:val="24"/>
          <w:szCs w:val="24"/>
          <w:lang w:eastAsia="fr-FR"/>
        </w:rPr>
        <w:t>Les gaz industriels</w:t>
      </w:r>
    </w:p>
    <w:p w:rsidR="008F715D" w:rsidRPr="00651D8E" w:rsidRDefault="008F715D" w:rsidP="008F715D">
      <w:pPr>
        <w:jc w:val="both"/>
        <w:rPr>
          <w:rFonts w:asciiTheme="majorBidi" w:hAnsiTheme="majorBidi" w:cstheme="majorBidi"/>
        </w:rPr>
      </w:pPr>
    </w:p>
    <w:p w:rsidR="008F715D" w:rsidRPr="00BD19A3" w:rsidRDefault="008F715D" w:rsidP="008F715D">
      <w:pPr>
        <w:jc w:val="both"/>
        <w:rPr>
          <w:rFonts w:asciiTheme="majorBidi" w:hAnsiTheme="majorBidi" w:cstheme="majorBidi"/>
        </w:rPr>
      </w:pPr>
      <w:r>
        <w:rPr>
          <w:rFonts w:asciiTheme="majorBidi" w:hAnsiTheme="majorBidi" w:cstheme="majorBidi"/>
        </w:rPr>
        <w:t xml:space="preserve">A fin juin 2016, l’activité de fabrication des gaz industriels a été morose suite à la contraction </w:t>
      </w:r>
      <w:r w:rsidRPr="00BE7CE7">
        <w:rPr>
          <w:rFonts w:asciiTheme="majorBidi" w:hAnsiTheme="majorBidi" w:cstheme="majorBidi"/>
        </w:rPr>
        <w:t xml:space="preserve">des commandes du secteur pétrolier, des industriels et </w:t>
      </w:r>
      <w:r>
        <w:rPr>
          <w:rFonts w:asciiTheme="majorBidi" w:hAnsiTheme="majorBidi" w:cstheme="majorBidi"/>
        </w:rPr>
        <w:t>des structures hospitalières. Ainsi, la production consolidée a régressé de 9,4% à 17</w:t>
      </w:r>
      <w:r w:rsidRPr="00BE7CE7">
        <w:rPr>
          <w:rFonts w:asciiTheme="majorBidi" w:hAnsiTheme="majorBidi" w:cstheme="majorBidi"/>
        </w:rPr>
        <w:t>9 </w:t>
      </w:r>
      <w:r>
        <w:rPr>
          <w:rFonts w:asciiTheme="majorBidi" w:hAnsiTheme="majorBidi" w:cstheme="majorBidi"/>
        </w:rPr>
        <w:t>3</w:t>
      </w:r>
      <w:r w:rsidRPr="00BE7CE7">
        <w:rPr>
          <w:rFonts w:asciiTheme="majorBidi" w:hAnsiTheme="majorBidi" w:cstheme="majorBidi"/>
        </w:rPr>
        <w:t>00 m</w:t>
      </w:r>
      <w:r w:rsidRPr="00BD19A3">
        <w:rPr>
          <w:rFonts w:asciiTheme="majorBidi" w:hAnsiTheme="majorBidi" w:cstheme="majorBidi"/>
        </w:rPr>
        <w:t>3</w:t>
      </w:r>
      <w:r>
        <w:rPr>
          <w:rFonts w:asciiTheme="majorBidi" w:hAnsiTheme="majorBidi" w:cstheme="majorBidi"/>
        </w:rPr>
        <w:t xml:space="preserve"> à fin juin 2016</w:t>
      </w:r>
      <w:r w:rsidRPr="00BE7CE7">
        <w:rPr>
          <w:rFonts w:asciiTheme="majorBidi" w:hAnsiTheme="majorBidi" w:cstheme="majorBidi"/>
        </w:rPr>
        <w:t>.</w:t>
      </w:r>
      <w:r>
        <w:rPr>
          <w:rFonts w:asciiTheme="majorBidi" w:hAnsiTheme="majorBidi" w:cstheme="majorBidi"/>
        </w:rPr>
        <w:t xml:space="preserve"> </w:t>
      </w:r>
      <w:r w:rsidRPr="00BD19A3">
        <w:rPr>
          <w:rFonts w:asciiTheme="majorBidi" w:hAnsiTheme="majorBidi" w:cstheme="majorBidi"/>
        </w:rPr>
        <w:t>En conséquence, le chiffre d’affaires s’est replié de 23,9% à 1,4 milliard de FCFA, en liaison avec les faibles consommations de l’oxygène et de l’acétylène par les structures hospitalières et des clients industriels.</w:t>
      </w:r>
    </w:p>
    <w:p w:rsidR="008F715D" w:rsidRPr="00CB1F5B" w:rsidRDefault="008F715D" w:rsidP="008F715D">
      <w:pPr>
        <w:jc w:val="both"/>
        <w:rPr>
          <w:rFonts w:asciiTheme="majorBidi" w:hAnsiTheme="majorBidi" w:cstheme="majorBidi"/>
          <w:color w:val="000000"/>
        </w:rPr>
      </w:pPr>
    </w:p>
    <w:p w:rsidR="008F715D" w:rsidRDefault="008F715D" w:rsidP="008F715D">
      <w:pPr>
        <w:jc w:val="both"/>
        <w:rPr>
          <w:rFonts w:asciiTheme="majorBidi" w:hAnsiTheme="majorBidi" w:cstheme="majorBidi"/>
          <w:b/>
          <w:bCs/>
          <w:i/>
          <w:iCs/>
        </w:rPr>
      </w:pPr>
      <w:r w:rsidRPr="00CB1F5B">
        <w:rPr>
          <w:rFonts w:asciiTheme="majorBidi" w:hAnsiTheme="majorBidi" w:cstheme="majorBidi"/>
          <w:b/>
          <w:bCs/>
          <w:i/>
          <w:iCs/>
        </w:rPr>
        <w:t>Evolution de l’activité des gaz industriels</w:t>
      </w:r>
    </w:p>
    <w:tbl>
      <w:tblPr>
        <w:tblW w:w="8946" w:type="dxa"/>
        <w:tblInd w:w="55" w:type="dxa"/>
        <w:tblLayout w:type="fixed"/>
        <w:tblCellMar>
          <w:left w:w="70" w:type="dxa"/>
          <w:right w:w="70" w:type="dxa"/>
        </w:tblCellMar>
        <w:tblLook w:val="04A0"/>
      </w:tblPr>
      <w:tblGrid>
        <w:gridCol w:w="4840"/>
        <w:gridCol w:w="1368"/>
        <w:gridCol w:w="1369"/>
        <w:gridCol w:w="1369"/>
      </w:tblGrid>
      <w:tr w:rsidR="008F715D" w:rsidRPr="00DC098F"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DC098F" w:rsidRDefault="008F715D" w:rsidP="002105A0">
            <w:pPr>
              <w:rPr>
                <w:color w:val="000000"/>
              </w:rPr>
            </w:pPr>
          </w:p>
        </w:tc>
        <w:tc>
          <w:tcPr>
            <w:tcW w:w="4106"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000000"/>
              </w:rPr>
            </w:pPr>
            <w:r w:rsidRPr="00DC098F">
              <w:rPr>
                <w:color w:val="000000"/>
                <w:szCs w:val="22"/>
              </w:rPr>
              <w:t>Premier semestre</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000000"/>
              </w:rPr>
            </w:pPr>
            <w:r w:rsidRPr="00DC098F">
              <w:rPr>
                <w:color w:val="000000"/>
                <w:szCs w:val="22"/>
              </w:rPr>
              <w:t>2015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000000"/>
              </w:rPr>
            </w:pPr>
            <w:r w:rsidRPr="00DC098F">
              <w:rPr>
                <w:color w:val="000000"/>
                <w:szCs w:val="22"/>
              </w:rPr>
              <w:t>2016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Var 16/15</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Productions (en m3)</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b/>
                <w:bCs/>
              </w:rPr>
            </w:pPr>
            <w:r w:rsidRPr="00DC098F">
              <w:rPr>
                <w:b/>
                <w:bCs/>
                <w:szCs w:val="22"/>
              </w:rPr>
              <w:t>198 000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b/>
                <w:bCs/>
              </w:rPr>
            </w:pPr>
            <w:r w:rsidRPr="00DC098F">
              <w:rPr>
                <w:b/>
                <w:bCs/>
                <w:szCs w:val="22"/>
              </w:rPr>
              <w:t>179 300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b/>
                <w:bCs/>
                <w:i/>
                <w:iCs/>
                <w:color w:val="FF0000"/>
              </w:rPr>
            </w:pPr>
            <w:r w:rsidRPr="00DC098F">
              <w:rPr>
                <w:b/>
                <w:bCs/>
                <w:i/>
                <w:iCs/>
                <w:color w:val="FF0000"/>
                <w:szCs w:val="22"/>
              </w:rPr>
              <w:t>-9,4%</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 xml:space="preserve">    Oxygène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130 100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92 100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FF0000"/>
              </w:rPr>
            </w:pPr>
            <w:r w:rsidRPr="00DC098F">
              <w:rPr>
                <w:color w:val="FF0000"/>
                <w:szCs w:val="22"/>
              </w:rPr>
              <w:t>-29,2%</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 xml:space="preserve">    Azote gazeux</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12 600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38 500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205,6%</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 xml:space="preserve">    Azote liquide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40 800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36 300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FF0000"/>
              </w:rPr>
            </w:pPr>
            <w:r w:rsidRPr="00DC098F">
              <w:rPr>
                <w:color w:val="FF0000"/>
                <w:szCs w:val="22"/>
              </w:rPr>
              <w:t>-11,0%</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 xml:space="preserve">    Acétylène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14 500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12 400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FF0000"/>
              </w:rPr>
            </w:pPr>
            <w:r w:rsidRPr="00DC098F">
              <w:rPr>
                <w:color w:val="FF0000"/>
                <w:szCs w:val="22"/>
              </w:rPr>
              <w:t>-14,5%</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Chiffre d’affaires (en millions de FCFA)</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1 832</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1 394</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FF0000"/>
              </w:rPr>
            </w:pPr>
            <w:r w:rsidRPr="00DC098F">
              <w:rPr>
                <w:color w:val="FF0000"/>
                <w:szCs w:val="22"/>
              </w:rPr>
              <w:t>-23,9%</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Masse salariale (en millions de FCFA)</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368</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346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FF0000"/>
              </w:rPr>
            </w:pPr>
            <w:r w:rsidRPr="00DC098F">
              <w:rPr>
                <w:color w:val="FF0000"/>
                <w:szCs w:val="22"/>
              </w:rPr>
              <w:t>-6,1%</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Effectifs (nombre d’agents)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62</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58</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FF0000"/>
              </w:rPr>
            </w:pPr>
            <w:r w:rsidRPr="00DC098F">
              <w:rPr>
                <w:color w:val="FF0000"/>
                <w:szCs w:val="22"/>
              </w:rPr>
              <w:t>-6,5%</w:t>
            </w:r>
          </w:p>
        </w:tc>
      </w:tr>
    </w:tbl>
    <w:p w:rsidR="008F715D" w:rsidRPr="00651D8E" w:rsidRDefault="008F715D" w:rsidP="008F715D">
      <w:pPr>
        <w:jc w:val="both"/>
        <w:rPr>
          <w:rFonts w:asciiTheme="majorBidi" w:eastAsiaTheme="minorHAnsi" w:hAnsiTheme="majorBidi" w:cstheme="majorBidi"/>
          <w:b/>
          <w:bCs/>
          <w:i/>
          <w:sz w:val="16"/>
          <w:szCs w:val="16"/>
        </w:rPr>
      </w:pPr>
      <w:r w:rsidRPr="00651D8E">
        <w:rPr>
          <w:rFonts w:asciiTheme="majorBidi" w:eastAsiaTheme="minorHAnsi" w:hAnsiTheme="majorBidi" w:cstheme="majorBidi"/>
          <w:b/>
          <w:bCs/>
          <w:i/>
          <w:sz w:val="16"/>
          <w:szCs w:val="16"/>
        </w:rPr>
        <w:t>Source : Air Liquide Gabon (GABOA)</w:t>
      </w:r>
    </w:p>
    <w:p w:rsidR="008F715D" w:rsidRPr="00651D8E" w:rsidRDefault="008F715D" w:rsidP="008F715D">
      <w:pPr>
        <w:jc w:val="both"/>
        <w:rPr>
          <w:rFonts w:asciiTheme="majorBidi" w:hAnsiTheme="majorBidi" w:cstheme="majorBidi"/>
        </w:rPr>
      </w:pPr>
    </w:p>
    <w:p w:rsidR="008F715D" w:rsidRPr="00651D8E" w:rsidRDefault="008F715D" w:rsidP="008F715D">
      <w:pPr>
        <w:pStyle w:val="Titre3"/>
        <w:ind w:right="72" w:firstLine="0"/>
        <w:rPr>
          <w:rFonts w:asciiTheme="majorBidi" w:hAnsiTheme="majorBidi" w:cstheme="majorBidi"/>
          <w:color w:val="0000FF"/>
          <w:sz w:val="24"/>
        </w:rPr>
      </w:pPr>
      <w:bookmarkStart w:id="107" w:name="_Toc420027524"/>
      <w:bookmarkStart w:id="108" w:name="_Toc462990826"/>
      <w:r>
        <w:rPr>
          <w:rFonts w:asciiTheme="majorBidi" w:hAnsiTheme="majorBidi" w:cstheme="majorBidi"/>
          <w:b/>
          <w:bCs/>
          <w:i/>
          <w:iCs/>
          <w:color w:val="0000FF"/>
          <w:sz w:val="24"/>
        </w:rPr>
        <w:t>I</w:t>
      </w:r>
      <w:r w:rsidRPr="00651D8E">
        <w:rPr>
          <w:rFonts w:asciiTheme="majorBidi" w:hAnsiTheme="majorBidi" w:cstheme="majorBidi"/>
          <w:b/>
          <w:bCs/>
          <w:i/>
          <w:iCs/>
          <w:color w:val="0000FF"/>
          <w:sz w:val="24"/>
        </w:rPr>
        <w:t>I.</w:t>
      </w:r>
      <w:r>
        <w:rPr>
          <w:rFonts w:asciiTheme="majorBidi" w:hAnsiTheme="majorBidi" w:cstheme="majorBidi"/>
          <w:b/>
          <w:bCs/>
          <w:i/>
          <w:iCs/>
          <w:color w:val="0000FF"/>
          <w:sz w:val="24"/>
        </w:rPr>
        <w:t>9</w:t>
      </w:r>
      <w:r w:rsidRPr="00651D8E">
        <w:rPr>
          <w:rFonts w:asciiTheme="majorBidi" w:hAnsiTheme="majorBidi" w:cstheme="majorBidi"/>
          <w:b/>
          <w:bCs/>
          <w:i/>
          <w:iCs/>
          <w:color w:val="0000FF"/>
          <w:sz w:val="24"/>
        </w:rPr>
        <w:t>.2</w:t>
      </w:r>
      <w:r>
        <w:rPr>
          <w:rFonts w:asciiTheme="majorBidi" w:hAnsiTheme="majorBidi" w:cstheme="majorBidi"/>
          <w:b/>
          <w:bCs/>
          <w:i/>
          <w:iCs/>
          <w:color w:val="0000FF"/>
          <w:sz w:val="24"/>
        </w:rPr>
        <w:t>.</w:t>
      </w:r>
      <w:r w:rsidRPr="00651D8E">
        <w:rPr>
          <w:rFonts w:asciiTheme="majorBidi" w:hAnsiTheme="majorBidi" w:cstheme="majorBidi"/>
          <w:b/>
          <w:bCs/>
          <w:i/>
          <w:iCs/>
          <w:color w:val="0000FF"/>
          <w:sz w:val="24"/>
        </w:rPr>
        <w:t xml:space="preserve"> Les matériaux de construction</w:t>
      </w:r>
      <w:bookmarkEnd w:id="107"/>
      <w:bookmarkEnd w:id="108"/>
    </w:p>
    <w:p w:rsidR="008F715D" w:rsidRPr="00651D8E" w:rsidRDefault="008F715D" w:rsidP="008F715D">
      <w:pPr>
        <w:jc w:val="both"/>
        <w:rPr>
          <w:rFonts w:asciiTheme="majorBidi" w:hAnsiTheme="majorBidi" w:cstheme="majorBidi"/>
        </w:rPr>
      </w:pPr>
    </w:p>
    <w:p w:rsidR="008F715D" w:rsidRPr="004B14A6" w:rsidRDefault="008F715D" w:rsidP="008F715D">
      <w:pPr>
        <w:jc w:val="both"/>
      </w:pPr>
      <w:r w:rsidRPr="00E969D5">
        <w:lastRenderedPageBreak/>
        <w:t xml:space="preserve">La branche fabrication de ciment </w:t>
      </w:r>
      <w:r w:rsidRPr="00B06894">
        <w:t>a enregistré</w:t>
      </w:r>
      <w:r w:rsidRPr="00E969D5">
        <w:t xml:space="preserve"> de bons résultats au cours des six premiers mois de 2016, en raison de la montée en puissance de l’usine nouvellement mise en </w:t>
      </w:r>
      <w:r w:rsidRPr="004B14A6">
        <w:t xml:space="preserve">service à Owendo. Ainsi, la production de ciment s’est raffermie notablement (+83,7%) pour atteindre un volume de 162 543 tonnes. </w:t>
      </w:r>
    </w:p>
    <w:p w:rsidR="008F715D" w:rsidRPr="004B14A6" w:rsidRDefault="008F715D" w:rsidP="008F715D">
      <w:pPr>
        <w:jc w:val="both"/>
      </w:pPr>
    </w:p>
    <w:p w:rsidR="008F715D" w:rsidRPr="00E969D5" w:rsidRDefault="008F715D" w:rsidP="008F715D">
      <w:pPr>
        <w:jc w:val="both"/>
      </w:pPr>
      <w:r w:rsidRPr="004B14A6">
        <w:t>Dans le même temps, le chiffre d’affaires a progressé de 72,9% à 12,8 milliards de FCFA au 30 juin 2016, suite à l’accroissement des ventes de ciment, tirées par les consommations du marché local.</w:t>
      </w:r>
    </w:p>
    <w:p w:rsidR="008F715D" w:rsidRPr="00F37CCB" w:rsidRDefault="008F715D" w:rsidP="008F715D">
      <w:pPr>
        <w:jc w:val="both"/>
      </w:pPr>
    </w:p>
    <w:p w:rsidR="008F715D" w:rsidRDefault="008F715D" w:rsidP="008F715D">
      <w:pPr>
        <w:jc w:val="both"/>
      </w:pPr>
      <w:r w:rsidRPr="00EA0AC6">
        <w:t xml:space="preserve">Le </w:t>
      </w:r>
      <w:r>
        <w:t>renforcement des effectifs de 38</w:t>
      </w:r>
      <w:r w:rsidRPr="00EA0AC6">
        <w:t>,</w:t>
      </w:r>
      <w:r>
        <w:t>1</w:t>
      </w:r>
      <w:r w:rsidRPr="00EA0AC6">
        <w:t>% a induit une augmentation de la masse salariale de 31,4%</w:t>
      </w:r>
      <w:r>
        <w:t xml:space="preserve"> à 1,2 milliard de FCFA</w:t>
      </w:r>
      <w:r w:rsidRPr="00EA0AC6">
        <w:t>.</w:t>
      </w:r>
    </w:p>
    <w:p w:rsidR="008F715D" w:rsidRPr="00EA0AC6" w:rsidRDefault="008F715D" w:rsidP="008F715D">
      <w:pPr>
        <w:jc w:val="both"/>
      </w:pPr>
    </w:p>
    <w:p w:rsidR="008F715D" w:rsidRDefault="008F715D" w:rsidP="008F715D">
      <w:pPr>
        <w:tabs>
          <w:tab w:val="left" w:pos="6221"/>
        </w:tabs>
        <w:jc w:val="both"/>
        <w:rPr>
          <w:rFonts w:asciiTheme="majorBidi" w:hAnsiTheme="majorBidi" w:cstheme="majorBidi"/>
          <w:b/>
          <w:bCs/>
          <w:i/>
          <w:iCs/>
          <w:color w:val="000000"/>
        </w:rPr>
      </w:pPr>
      <w:r w:rsidRPr="00CB1F5B">
        <w:rPr>
          <w:rFonts w:asciiTheme="majorBidi" w:hAnsiTheme="majorBidi" w:cstheme="majorBidi"/>
          <w:b/>
          <w:bCs/>
          <w:i/>
          <w:iCs/>
        </w:rPr>
        <w:t>Evolution de l’activité des « matériaux</w:t>
      </w:r>
      <w:r w:rsidRPr="00CB1F5B">
        <w:rPr>
          <w:rFonts w:asciiTheme="majorBidi" w:hAnsiTheme="majorBidi" w:cstheme="majorBidi"/>
          <w:b/>
          <w:bCs/>
          <w:i/>
          <w:iCs/>
          <w:color w:val="000000"/>
        </w:rPr>
        <w:t xml:space="preserve"> de construction »</w:t>
      </w:r>
    </w:p>
    <w:tbl>
      <w:tblPr>
        <w:tblW w:w="8804" w:type="dxa"/>
        <w:tblInd w:w="55" w:type="dxa"/>
        <w:tblLayout w:type="fixed"/>
        <w:tblCellMar>
          <w:left w:w="70" w:type="dxa"/>
          <w:right w:w="70" w:type="dxa"/>
        </w:tblCellMar>
        <w:tblLook w:val="04A0"/>
      </w:tblPr>
      <w:tblGrid>
        <w:gridCol w:w="4840"/>
        <w:gridCol w:w="1321"/>
        <w:gridCol w:w="1321"/>
        <w:gridCol w:w="1322"/>
      </w:tblGrid>
      <w:tr w:rsidR="008F715D" w:rsidRPr="00A70FC9"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A70FC9" w:rsidRDefault="008F715D" w:rsidP="002105A0">
            <w:pPr>
              <w:rPr>
                <w:color w:val="000000"/>
              </w:rPr>
            </w:pPr>
          </w:p>
        </w:tc>
        <w:tc>
          <w:tcPr>
            <w:tcW w:w="3964"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rPr>
                <w:color w:val="000000"/>
              </w:rPr>
            </w:pPr>
            <w:r w:rsidRPr="00A70FC9">
              <w:rPr>
                <w:color w:val="000000"/>
                <w:sz w:val="22"/>
                <w:szCs w:val="22"/>
              </w:rPr>
              <w:t>Premier semestre</w:t>
            </w:r>
          </w:p>
        </w:tc>
      </w:tr>
      <w:tr w:rsidR="008F715D" w:rsidRPr="00A70FC9"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A70FC9" w:rsidRDefault="008F715D" w:rsidP="002105A0">
            <w:pPr>
              <w:rPr>
                <w:color w:val="000000"/>
              </w:rPr>
            </w:pPr>
            <w:r w:rsidRPr="00A70FC9">
              <w:rPr>
                <w:color w:val="000000"/>
                <w:sz w:val="22"/>
                <w:szCs w:val="22"/>
              </w:rPr>
              <w:t> </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rPr>
                <w:color w:val="000000"/>
              </w:rPr>
            </w:pPr>
            <w:r w:rsidRPr="00A70FC9">
              <w:rPr>
                <w:color w:val="000000"/>
                <w:sz w:val="22"/>
                <w:szCs w:val="22"/>
              </w:rPr>
              <w:t>2015</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rPr>
                <w:color w:val="000000"/>
              </w:rPr>
            </w:pPr>
            <w:r w:rsidRPr="00A70FC9">
              <w:rPr>
                <w:color w:val="000000"/>
                <w:sz w:val="22"/>
                <w:szCs w:val="22"/>
              </w:rPr>
              <w:t>2016</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Var 16/15</w:t>
            </w:r>
          </w:p>
        </w:tc>
      </w:tr>
      <w:tr w:rsidR="008F715D" w:rsidRPr="00A70FC9"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A70FC9" w:rsidRDefault="008F715D" w:rsidP="002105A0">
            <w:pPr>
              <w:rPr>
                <w:color w:val="000000"/>
              </w:rPr>
            </w:pPr>
            <w:r w:rsidRPr="00A70FC9">
              <w:rPr>
                <w:color w:val="000000"/>
                <w:sz w:val="22"/>
                <w:szCs w:val="22"/>
              </w:rPr>
              <w:t>Productions (en tonnes)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rPr>
                <w:color w:val="000000"/>
              </w:rPr>
            </w:pP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rPr>
                <w:color w:val="000000"/>
              </w:rPr>
            </w:pP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p>
        </w:tc>
      </w:tr>
      <w:tr w:rsidR="008F715D" w:rsidRPr="00A70FC9"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A70FC9" w:rsidRDefault="008F715D" w:rsidP="002105A0">
            <w:pPr>
              <w:rPr>
                <w:color w:val="000000"/>
              </w:rPr>
            </w:pPr>
            <w:r w:rsidRPr="00A70FC9">
              <w:rPr>
                <w:color w:val="000000"/>
                <w:sz w:val="22"/>
                <w:szCs w:val="22"/>
              </w:rPr>
              <w:t xml:space="preserve">     Ciments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88 481</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162 543</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83,7%</w:t>
            </w:r>
          </w:p>
        </w:tc>
      </w:tr>
      <w:tr w:rsidR="008F715D" w:rsidRPr="00A70FC9"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A70FC9" w:rsidRDefault="008F715D" w:rsidP="002105A0">
            <w:pPr>
              <w:rPr>
                <w:color w:val="000000"/>
              </w:rPr>
            </w:pPr>
            <w:r w:rsidRPr="00A70FC9">
              <w:rPr>
                <w:color w:val="000000"/>
                <w:sz w:val="22"/>
                <w:szCs w:val="22"/>
              </w:rPr>
              <w:t>Ventes de ciment (en tonnes)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88 381</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162 991</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84,4%</w:t>
            </w:r>
          </w:p>
        </w:tc>
      </w:tr>
      <w:tr w:rsidR="008F715D" w:rsidRPr="00A70FC9"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A70FC9" w:rsidRDefault="008F715D" w:rsidP="002105A0">
            <w:pPr>
              <w:rPr>
                <w:color w:val="000000"/>
              </w:rPr>
            </w:pPr>
            <w:r w:rsidRPr="00A70FC9">
              <w:rPr>
                <w:color w:val="000000"/>
                <w:sz w:val="22"/>
                <w:szCs w:val="22"/>
              </w:rPr>
              <w:t>Chiffre d’affaires (en millions de FCFA)</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7 420</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12 830</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72,9%</w:t>
            </w:r>
          </w:p>
        </w:tc>
      </w:tr>
      <w:tr w:rsidR="008F715D" w:rsidRPr="00A70FC9"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A70FC9" w:rsidRDefault="008F715D" w:rsidP="002105A0">
            <w:pPr>
              <w:rPr>
                <w:color w:val="000000"/>
              </w:rPr>
            </w:pPr>
            <w:r w:rsidRPr="00A70FC9">
              <w:rPr>
                <w:color w:val="000000"/>
                <w:sz w:val="22"/>
                <w:szCs w:val="22"/>
              </w:rPr>
              <w:t>Masse salariale (en millions de FCFA)</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924</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1 213</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31,4%</w:t>
            </w:r>
          </w:p>
        </w:tc>
      </w:tr>
      <w:tr w:rsidR="008F715D" w:rsidRPr="00A70FC9"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A70FC9" w:rsidRDefault="008F715D" w:rsidP="002105A0">
            <w:pPr>
              <w:rPr>
                <w:color w:val="000000"/>
              </w:rPr>
            </w:pPr>
            <w:r w:rsidRPr="00A70FC9">
              <w:rPr>
                <w:color w:val="000000"/>
                <w:sz w:val="22"/>
                <w:szCs w:val="22"/>
              </w:rPr>
              <w:t>Effectifs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113</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156</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A70FC9" w:rsidRDefault="008F715D" w:rsidP="002105A0">
            <w:pPr>
              <w:jc w:val="center"/>
            </w:pPr>
            <w:r w:rsidRPr="00A70FC9">
              <w:rPr>
                <w:sz w:val="22"/>
                <w:szCs w:val="22"/>
              </w:rPr>
              <w:t>38,1%</w:t>
            </w:r>
          </w:p>
        </w:tc>
      </w:tr>
    </w:tbl>
    <w:p w:rsidR="008F715D" w:rsidRPr="00651D8E" w:rsidRDefault="008F715D" w:rsidP="008F715D">
      <w:pPr>
        <w:jc w:val="both"/>
        <w:rPr>
          <w:rFonts w:asciiTheme="majorBidi" w:hAnsiTheme="majorBidi" w:cstheme="majorBidi"/>
          <w:b/>
          <w:sz w:val="20"/>
          <w:szCs w:val="20"/>
        </w:rPr>
      </w:pPr>
      <w:r>
        <w:rPr>
          <w:rFonts w:asciiTheme="majorBidi" w:eastAsiaTheme="minorHAnsi" w:hAnsiTheme="majorBidi" w:cstheme="majorBidi"/>
          <w:b/>
          <w:bCs/>
          <w:i/>
          <w:sz w:val="16"/>
          <w:szCs w:val="16"/>
        </w:rPr>
        <w:t>Source : CIM</w:t>
      </w:r>
      <w:r w:rsidRPr="00651D8E">
        <w:rPr>
          <w:rFonts w:asciiTheme="majorBidi" w:eastAsiaTheme="minorHAnsi" w:hAnsiTheme="majorBidi" w:cstheme="majorBidi"/>
          <w:b/>
          <w:bCs/>
          <w:i/>
          <w:sz w:val="16"/>
          <w:szCs w:val="16"/>
        </w:rPr>
        <w:t>GABON</w:t>
      </w:r>
      <w:r>
        <w:rPr>
          <w:rFonts w:asciiTheme="majorBidi" w:eastAsiaTheme="minorHAnsi" w:hAnsiTheme="majorBidi" w:cstheme="majorBidi"/>
          <w:b/>
          <w:bCs/>
          <w:i/>
          <w:sz w:val="16"/>
          <w:szCs w:val="16"/>
        </w:rPr>
        <w:t>, CIMAF</w:t>
      </w:r>
    </w:p>
    <w:p w:rsidR="008F715D" w:rsidRPr="00651D8E" w:rsidRDefault="008F715D" w:rsidP="008F715D">
      <w:pPr>
        <w:jc w:val="both"/>
        <w:rPr>
          <w:rFonts w:asciiTheme="majorBidi" w:hAnsiTheme="majorBidi" w:cstheme="majorBidi"/>
          <w:bCs/>
        </w:rPr>
      </w:pPr>
    </w:p>
    <w:p w:rsidR="008F715D" w:rsidRPr="00651D8E" w:rsidRDefault="008F715D" w:rsidP="008F715D">
      <w:pPr>
        <w:pStyle w:val="Titre3"/>
        <w:ind w:right="72" w:firstLine="0"/>
        <w:rPr>
          <w:rFonts w:asciiTheme="majorBidi" w:hAnsiTheme="majorBidi" w:cstheme="majorBidi"/>
          <w:color w:val="0000FF"/>
          <w:sz w:val="24"/>
        </w:rPr>
      </w:pPr>
      <w:bookmarkStart w:id="109" w:name="_Toc356891318"/>
      <w:bookmarkStart w:id="110" w:name="_Toc389653142"/>
      <w:bookmarkStart w:id="111" w:name="_Toc389653370"/>
      <w:bookmarkStart w:id="112" w:name="_Toc397691610"/>
      <w:bookmarkStart w:id="113" w:name="_Toc420027525"/>
      <w:bookmarkStart w:id="114" w:name="_Toc462990827"/>
      <w:r>
        <w:rPr>
          <w:rFonts w:asciiTheme="majorBidi" w:hAnsiTheme="majorBidi" w:cstheme="majorBidi"/>
          <w:b/>
          <w:bCs/>
          <w:i/>
          <w:iCs/>
          <w:color w:val="0000FF"/>
          <w:sz w:val="24"/>
        </w:rPr>
        <w:t>I</w:t>
      </w:r>
      <w:r w:rsidRPr="00651D8E">
        <w:rPr>
          <w:rFonts w:asciiTheme="majorBidi" w:hAnsiTheme="majorBidi" w:cstheme="majorBidi"/>
          <w:b/>
          <w:bCs/>
          <w:i/>
          <w:iCs/>
          <w:color w:val="0000FF"/>
          <w:sz w:val="24"/>
        </w:rPr>
        <w:t>I.</w:t>
      </w:r>
      <w:r>
        <w:rPr>
          <w:rFonts w:asciiTheme="majorBidi" w:hAnsiTheme="majorBidi" w:cstheme="majorBidi"/>
          <w:b/>
          <w:bCs/>
          <w:i/>
          <w:iCs/>
          <w:color w:val="0000FF"/>
          <w:sz w:val="24"/>
        </w:rPr>
        <w:t>9</w:t>
      </w:r>
      <w:r w:rsidRPr="00651D8E">
        <w:rPr>
          <w:rFonts w:asciiTheme="majorBidi" w:hAnsiTheme="majorBidi" w:cstheme="majorBidi"/>
          <w:b/>
          <w:bCs/>
          <w:i/>
          <w:iCs/>
          <w:color w:val="0000FF"/>
          <w:sz w:val="24"/>
        </w:rPr>
        <w:t>.3</w:t>
      </w:r>
      <w:r>
        <w:rPr>
          <w:rFonts w:asciiTheme="majorBidi" w:hAnsiTheme="majorBidi" w:cstheme="majorBidi"/>
          <w:b/>
          <w:bCs/>
          <w:i/>
          <w:iCs/>
          <w:color w:val="0000FF"/>
          <w:sz w:val="24"/>
        </w:rPr>
        <w:t>.</w:t>
      </w:r>
      <w:r w:rsidRPr="00651D8E">
        <w:rPr>
          <w:rFonts w:asciiTheme="majorBidi" w:hAnsiTheme="majorBidi" w:cstheme="majorBidi"/>
          <w:b/>
          <w:bCs/>
          <w:i/>
          <w:iCs/>
          <w:color w:val="0000FF"/>
          <w:sz w:val="24"/>
        </w:rPr>
        <w:t xml:space="preserve"> La seconde transformation des métaux</w:t>
      </w:r>
      <w:bookmarkEnd w:id="109"/>
      <w:bookmarkEnd w:id="110"/>
      <w:bookmarkEnd w:id="111"/>
      <w:bookmarkEnd w:id="112"/>
      <w:bookmarkEnd w:id="113"/>
      <w:bookmarkEnd w:id="114"/>
    </w:p>
    <w:p w:rsidR="008F715D" w:rsidRPr="00651D8E" w:rsidRDefault="008F715D" w:rsidP="008F715D">
      <w:pPr>
        <w:jc w:val="both"/>
        <w:rPr>
          <w:rFonts w:asciiTheme="majorBidi" w:hAnsiTheme="majorBidi" w:cstheme="majorBidi"/>
        </w:rPr>
      </w:pPr>
    </w:p>
    <w:p w:rsidR="008F715D" w:rsidRPr="00CC475F" w:rsidRDefault="008F715D" w:rsidP="008F715D">
      <w:pPr>
        <w:jc w:val="both"/>
        <w:rPr>
          <w:rFonts w:asciiTheme="majorBidi" w:hAnsiTheme="majorBidi" w:cstheme="majorBidi"/>
        </w:rPr>
      </w:pPr>
      <w:r w:rsidRPr="00CC475F">
        <w:rPr>
          <w:rFonts w:asciiTheme="majorBidi" w:hAnsiTheme="majorBidi" w:cstheme="majorBidi"/>
        </w:rPr>
        <w:t xml:space="preserve">Au 30 juin 2016, la seconde transformation des métaux a consolidé les performances enregistrées </w:t>
      </w:r>
      <w:r>
        <w:rPr>
          <w:rFonts w:asciiTheme="majorBidi" w:hAnsiTheme="majorBidi" w:cstheme="majorBidi"/>
        </w:rPr>
        <w:t>au premier trimestre</w:t>
      </w:r>
      <w:r w:rsidRPr="00CC475F">
        <w:rPr>
          <w:rFonts w:asciiTheme="majorBidi" w:hAnsiTheme="majorBidi" w:cstheme="majorBidi"/>
        </w:rPr>
        <w:t xml:space="preserve">. Ainsi, la production des tôles a progressé de manière appréciable (+86,3%) pour s’établir à 2 027,2 tonnes, </w:t>
      </w:r>
      <w:r>
        <w:rPr>
          <w:rFonts w:asciiTheme="majorBidi" w:hAnsiTheme="majorBidi" w:cstheme="majorBidi"/>
        </w:rPr>
        <w:t>sous l’effet de</w:t>
      </w:r>
      <w:r w:rsidRPr="00CC475F">
        <w:rPr>
          <w:rFonts w:asciiTheme="majorBidi" w:hAnsiTheme="majorBidi" w:cstheme="majorBidi"/>
        </w:rPr>
        <w:t xml:space="preserve"> la demande soutenue des principaux clients, notamment les quincailleries et les ménages. Par ailleurs, la production de fer à béton s’est </w:t>
      </w:r>
      <w:r w:rsidRPr="00CF4198">
        <w:rPr>
          <w:rFonts w:asciiTheme="majorBidi" w:hAnsiTheme="majorBidi" w:cstheme="majorBidi"/>
          <w:color w:val="000000" w:themeColor="text1"/>
        </w:rPr>
        <w:t>établie à 1 628,5 tonnes.</w:t>
      </w:r>
    </w:p>
    <w:p w:rsidR="008F715D" w:rsidRPr="00CC475F" w:rsidRDefault="008F715D" w:rsidP="008F715D">
      <w:pPr>
        <w:jc w:val="both"/>
        <w:rPr>
          <w:rFonts w:asciiTheme="majorBidi" w:hAnsiTheme="majorBidi" w:cstheme="majorBidi"/>
        </w:rPr>
      </w:pPr>
    </w:p>
    <w:p w:rsidR="008F715D" w:rsidRPr="00BE7CE7" w:rsidRDefault="008F715D" w:rsidP="008F715D">
      <w:pPr>
        <w:jc w:val="both"/>
        <w:rPr>
          <w:rFonts w:asciiTheme="majorBidi" w:hAnsiTheme="majorBidi" w:cstheme="majorBidi"/>
        </w:rPr>
      </w:pPr>
      <w:r>
        <w:rPr>
          <w:rFonts w:asciiTheme="majorBidi" w:hAnsiTheme="majorBidi" w:cstheme="majorBidi"/>
        </w:rPr>
        <w:t>Corrélativement à cette embellie, le</w:t>
      </w:r>
      <w:r w:rsidRPr="00BE7CE7">
        <w:rPr>
          <w:rFonts w:asciiTheme="majorBidi" w:hAnsiTheme="majorBidi" w:cstheme="majorBidi"/>
        </w:rPr>
        <w:t xml:space="preserve"> chiffre d’affaires </w:t>
      </w:r>
      <w:r>
        <w:rPr>
          <w:rFonts w:asciiTheme="majorBidi" w:hAnsiTheme="majorBidi" w:cstheme="majorBidi"/>
        </w:rPr>
        <w:t xml:space="preserve">généré par la vente des produits s’est élevé à 3,2 milliards de FCFA </w:t>
      </w:r>
      <w:r w:rsidRPr="00BE7CE7">
        <w:rPr>
          <w:rFonts w:asciiTheme="majorBidi" w:hAnsiTheme="majorBidi" w:cstheme="majorBidi"/>
        </w:rPr>
        <w:t xml:space="preserve">au </w:t>
      </w:r>
      <w:r>
        <w:rPr>
          <w:rFonts w:asciiTheme="majorBidi" w:hAnsiTheme="majorBidi" w:cstheme="majorBidi"/>
        </w:rPr>
        <w:t>30</w:t>
      </w:r>
      <w:r w:rsidRPr="00BE7CE7">
        <w:rPr>
          <w:rFonts w:asciiTheme="majorBidi" w:hAnsiTheme="majorBidi" w:cstheme="majorBidi"/>
        </w:rPr>
        <w:t xml:space="preserve"> juin 2016</w:t>
      </w:r>
      <w:r>
        <w:rPr>
          <w:rFonts w:asciiTheme="majorBidi" w:hAnsiTheme="majorBidi" w:cstheme="majorBidi"/>
        </w:rPr>
        <w:t xml:space="preserve">, soit une </w:t>
      </w:r>
      <w:r w:rsidRPr="00BE7CE7">
        <w:rPr>
          <w:rFonts w:asciiTheme="majorBidi" w:hAnsiTheme="majorBidi" w:cstheme="majorBidi"/>
        </w:rPr>
        <w:t xml:space="preserve">amélioration </w:t>
      </w:r>
      <w:r>
        <w:rPr>
          <w:rFonts w:asciiTheme="majorBidi" w:hAnsiTheme="majorBidi" w:cstheme="majorBidi"/>
        </w:rPr>
        <w:t xml:space="preserve">de </w:t>
      </w:r>
      <w:r w:rsidRPr="00BE7CE7">
        <w:rPr>
          <w:rFonts w:asciiTheme="majorBidi" w:hAnsiTheme="majorBidi" w:cstheme="majorBidi"/>
        </w:rPr>
        <w:t>2,3%.</w:t>
      </w:r>
      <w:r>
        <w:rPr>
          <w:rFonts w:asciiTheme="majorBidi" w:hAnsiTheme="majorBidi" w:cstheme="majorBidi"/>
        </w:rPr>
        <w:t xml:space="preserve"> </w:t>
      </w:r>
      <w:r w:rsidRPr="00BE7CE7">
        <w:rPr>
          <w:rFonts w:asciiTheme="majorBidi" w:hAnsiTheme="majorBidi" w:cstheme="majorBidi"/>
        </w:rPr>
        <w:t xml:space="preserve">La masse salariale </w:t>
      </w:r>
      <w:r>
        <w:rPr>
          <w:rFonts w:asciiTheme="majorBidi" w:hAnsiTheme="majorBidi" w:cstheme="majorBidi"/>
        </w:rPr>
        <w:t>quant à elle a enregistré</w:t>
      </w:r>
      <w:r w:rsidRPr="00BE7CE7">
        <w:rPr>
          <w:rFonts w:asciiTheme="majorBidi" w:hAnsiTheme="majorBidi" w:cstheme="majorBidi"/>
        </w:rPr>
        <w:t xml:space="preserve"> une augmentation de 17,3% sous l’impulsion d’un renforcement des effectifs de 28,9%.</w:t>
      </w:r>
    </w:p>
    <w:p w:rsidR="008F715D" w:rsidRPr="00CB1F5B"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b/>
          <w:i/>
        </w:rPr>
      </w:pPr>
      <w:r w:rsidRPr="00CB1F5B">
        <w:rPr>
          <w:rFonts w:asciiTheme="majorBidi" w:hAnsiTheme="majorBidi" w:cstheme="majorBidi"/>
          <w:b/>
          <w:i/>
        </w:rPr>
        <w:t>La seconde transformation des métaux</w:t>
      </w:r>
    </w:p>
    <w:tbl>
      <w:tblPr>
        <w:tblW w:w="9560" w:type="dxa"/>
        <w:tblInd w:w="55" w:type="dxa"/>
        <w:tblCellMar>
          <w:left w:w="70" w:type="dxa"/>
          <w:right w:w="70" w:type="dxa"/>
        </w:tblCellMar>
        <w:tblLook w:val="04A0"/>
      </w:tblPr>
      <w:tblGrid>
        <w:gridCol w:w="4840"/>
        <w:gridCol w:w="1419"/>
        <w:gridCol w:w="1418"/>
        <w:gridCol w:w="1883"/>
      </w:tblGrid>
      <w:tr w:rsidR="008F715D" w:rsidRPr="00DC098F"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DC098F" w:rsidRDefault="008F715D" w:rsidP="002105A0">
            <w:pPr>
              <w:rPr>
                <w:color w:val="000000"/>
              </w:rPr>
            </w:pPr>
          </w:p>
        </w:tc>
        <w:tc>
          <w:tcPr>
            <w:tcW w:w="4720"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000000"/>
              </w:rPr>
            </w:pPr>
            <w:r w:rsidRPr="00DC098F">
              <w:rPr>
                <w:color w:val="000000"/>
                <w:szCs w:val="22"/>
              </w:rPr>
              <w:t>Premier semestre</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 </w:t>
            </w:r>
          </w:p>
        </w:tc>
        <w:tc>
          <w:tcPr>
            <w:tcW w:w="141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000000"/>
              </w:rPr>
            </w:pPr>
            <w:r w:rsidRPr="00DC098F">
              <w:rPr>
                <w:color w:val="000000"/>
                <w:szCs w:val="22"/>
              </w:rPr>
              <w:t>2015</w:t>
            </w:r>
          </w:p>
        </w:tc>
        <w:tc>
          <w:tcPr>
            <w:tcW w:w="141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rPr>
                <w:color w:val="000000"/>
              </w:rPr>
            </w:pPr>
            <w:r w:rsidRPr="00DC098F">
              <w:rPr>
                <w:color w:val="000000"/>
                <w:szCs w:val="22"/>
              </w:rPr>
              <w:t>2016</w:t>
            </w:r>
          </w:p>
        </w:tc>
        <w:tc>
          <w:tcPr>
            <w:tcW w:w="1883"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Var 16/15</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Production (en tonnes)</w:t>
            </w:r>
          </w:p>
        </w:tc>
        <w:tc>
          <w:tcPr>
            <w:tcW w:w="141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1 088,3</w:t>
            </w:r>
          </w:p>
        </w:tc>
        <w:tc>
          <w:tcPr>
            <w:tcW w:w="141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2 027,2</w:t>
            </w:r>
          </w:p>
        </w:tc>
        <w:tc>
          <w:tcPr>
            <w:tcW w:w="1883"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86,3%</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 xml:space="preserve">   Tôles minces</w:t>
            </w:r>
          </w:p>
        </w:tc>
        <w:tc>
          <w:tcPr>
            <w:tcW w:w="141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484,2</w:t>
            </w:r>
          </w:p>
        </w:tc>
        <w:tc>
          <w:tcPr>
            <w:tcW w:w="141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923,2</w:t>
            </w:r>
          </w:p>
        </w:tc>
        <w:tc>
          <w:tcPr>
            <w:tcW w:w="1883"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90,6%</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 xml:space="preserve">   Tôles épaisses</w:t>
            </w:r>
          </w:p>
        </w:tc>
        <w:tc>
          <w:tcPr>
            <w:tcW w:w="141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604,0</w:t>
            </w:r>
          </w:p>
        </w:tc>
        <w:tc>
          <w:tcPr>
            <w:tcW w:w="141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1 104,0</w:t>
            </w:r>
          </w:p>
        </w:tc>
        <w:tc>
          <w:tcPr>
            <w:tcW w:w="1883"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82,8%</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Pr>
                <w:color w:val="000000"/>
                <w:szCs w:val="22"/>
              </w:rPr>
              <w:t>Fer à béton (en tonnes)</w:t>
            </w:r>
          </w:p>
        </w:tc>
        <w:tc>
          <w:tcPr>
            <w:tcW w:w="141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Pr>
                <w:szCs w:val="22"/>
              </w:rPr>
              <w:t>-</w:t>
            </w:r>
          </w:p>
        </w:tc>
        <w:tc>
          <w:tcPr>
            <w:tcW w:w="141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Pr>
                <w:szCs w:val="22"/>
              </w:rPr>
              <w:t>1 628,5</w:t>
            </w:r>
          </w:p>
        </w:tc>
        <w:tc>
          <w:tcPr>
            <w:tcW w:w="1883"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Pr>
                <w:szCs w:val="22"/>
              </w:rPr>
              <w:t>-</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Chiffre d’affaires (en millions de FCFA)</w:t>
            </w:r>
          </w:p>
        </w:tc>
        <w:tc>
          <w:tcPr>
            <w:tcW w:w="141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3 090,4</w:t>
            </w:r>
          </w:p>
        </w:tc>
        <w:tc>
          <w:tcPr>
            <w:tcW w:w="141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3 162,8</w:t>
            </w:r>
          </w:p>
        </w:tc>
        <w:tc>
          <w:tcPr>
            <w:tcW w:w="1883"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2,3%</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t xml:space="preserve">Masse salariale (en millions de FCFA) </w:t>
            </w:r>
          </w:p>
        </w:tc>
        <w:tc>
          <w:tcPr>
            <w:tcW w:w="141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242,4</w:t>
            </w:r>
          </w:p>
        </w:tc>
        <w:tc>
          <w:tcPr>
            <w:tcW w:w="141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284,4</w:t>
            </w:r>
          </w:p>
        </w:tc>
        <w:tc>
          <w:tcPr>
            <w:tcW w:w="1883"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17,3%</w:t>
            </w:r>
          </w:p>
        </w:tc>
      </w:tr>
      <w:tr w:rsidR="008F715D" w:rsidRPr="00DC09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098F" w:rsidRDefault="008F715D" w:rsidP="002105A0">
            <w:pPr>
              <w:rPr>
                <w:color w:val="000000"/>
              </w:rPr>
            </w:pPr>
            <w:r w:rsidRPr="00DC098F">
              <w:rPr>
                <w:color w:val="000000"/>
                <w:szCs w:val="22"/>
              </w:rPr>
              <w:lastRenderedPageBreak/>
              <w:t>Effectifs (en nombre d’agents)</w:t>
            </w:r>
          </w:p>
        </w:tc>
        <w:tc>
          <w:tcPr>
            <w:tcW w:w="1419"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45</w:t>
            </w:r>
          </w:p>
        </w:tc>
        <w:tc>
          <w:tcPr>
            <w:tcW w:w="1418"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58</w:t>
            </w:r>
          </w:p>
        </w:tc>
        <w:tc>
          <w:tcPr>
            <w:tcW w:w="1883" w:type="dxa"/>
            <w:tcBorders>
              <w:top w:val="nil"/>
              <w:left w:val="nil"/>
              <w:bottom w:val="single" w:sz="12" w:space="0" w:color="0070C0"/>
              <w:right w:val="single" w:sz="12" w:space="0" w:color="0070C0"/>
            </w:tcBorders>
            <w:shd w:val="clear" w:color="auto" w:fill="auto"/>
            <w:noWrap/>
            <w:vAlign w:val="center"/>
            <w:hideMark/>
          </w:tcPr>
          <w:p w:rsidR="008F715D" w:rsidRPr="00DC098F" w:rsidRDefault="008F715D" w:rsidP="002105A0">
            <w:pPr>
              <w:jc w:val="center"/>
            </w:pPr>
            <w:r w:rsidRPr="00DC098F">
              <w:rPr>
                <w:szCs w:val="22"/>
              </w:rPr>
              <w:t>28,9%</w:t>
            </w:r>
          </w:p>
        </w:tc>
      </w:tr>
    </w:tbl>
    <w:p w:rsidR="008F715D" w:rsidRPr="00651D8E" w:rsidRDefault="008F715D" w:rsidP="008F715D">
      <w:pPr>
        <w:jc w:val="both"/>
        <w:rPr>
          <w:rFonts w:asciiTheme="majorBidi" w:hAnsiTheme="majorBidi" w:cstheme="majorBidi"/>
          <w:bCs/>
          <w:iCs/>
          <w:sz w:val="20"/>
          <w:szCs w:val="20"/>
        </w:rPr>
      </w:pPr>
      <w:r w:rsidRPr="00651D8E">
        <w:rPr>
          <w:rFonts w:asciiTheme="majorBidi" w:hAnsiTheme="majorBidi" w:cstheme="majorBidi"/>
          <w:b/>
          <w:bCs/>
          <w:i/>
          <w:sz w:val="16"/>
          <w:szCs w:val="16"/>
        </w:rPr>
        <w:t>Sources : SOTRALGA</w:t>
      </w:r>
    </w:p>
    <w:p w:rsidR="008F715D" w:rsidRDefault="008F715D" w:rsidP="008F715D">
      <w:pPr>
        <w:jc w:val="both"/>
        <w:rPr>
          <w:rFonts w:asciiTheme="majorBidi" w:hAnsiTheme="majorBidi" w:cstheme="majorBidi"/>
          <w:bCs/>
          <w:iCs/>
        </w:rPr>
      </w:pPr>
    </w:p>
    <w:p w:rsidR="008F715D" w:rsidRPr="00651D8E" w:rsidRDefault="008F715D" w:rsidP="008F715D">
      <w:pPr>
        <w:jc w:val="both"/>
        <w:rPr>
          <w:rFonts w:asciiTheme="majorBidi" w:hAnsiTheme="majorBidi" w:cstheme="majorBidi"/>
          <w:bCs/>
          <w:iCs/>
        </w:rPr>
      </w:pPr>
    </w:p>
    <w:p w:rsidR="008F715D" w:rsidRPr="00651D8E" w:rsidRDefault="008F715D" w:rsidP="008F715D">
      <w:pPr>
        <w:pStyle w:val="Titre2"/>
        <w:ind w:right="72"/>
        <w:rPr>
          <w:rFonts w:asciiTheme="majorBidi" w:hAnsiTheme="majorBidi" w:cstheme="majorBidi"/>
          <w:b/>
          <w:bCs/>
          <w:i w:val="0"/>
          <w:color w:val="0000FF"/>
          <w:sz w:val="24"/>
        </w:rPr>
      </w:pPr>
      <w:bookmarkStart w:id="115" w:name="_Toc77665754"/>
      <w:bookmarkStart w:id="116" w:name="_Toc356891319"/>
      <w:bookmarkStart w:id="117" w:name="_Toc389653143"/>
      <w:bookmarkStart w:id="118" w:name="_Toc389653371"/>
      <w:bookmarkStart w:id="119" w:name="_Toc420027526"/>
      <w:bookmarkStart w:id="120" w:name="_Toc462990828"/>
      <w:r>
        <w:rPr>
          <w:rFonts w:asciiTheme="majorBidi" w:hAnsiTheme="majorBidi" w:cstheme="majorBidi"/>
          <w:b/>
          <w:bCs/>
          <w:i w:val="0"/>
          <w:color w:val="0000FF"/>
          <w:sz w:val="24"/>
        </w:rPr>
        <w:t>I</w:t>
      </w:r>
      <w:r w:rsidRPr="00651D8E">
        <w:rPr>
          <w:rFonts w:asciiTheme="majorBidi" w:hAnsiTheme="majorBidi" w:cstheme="majorBidi"/>
          <w:b/>
          <w:bCs/>
          <w:i w:val="0"/>
          <w:color w:val="0000FF"/>
          <w:sz w:val="24"/>
        </w:rPr>
        <w:t>I.</w:t>
      </w:r>
      <w:r>
        <w:rPr>
          <w:rFonts w:asciiTheme="majorBidi" w:hAnsiTheme="majorBidi" w:cstheme="majorBidi"/>
          <w:b/>
          <w:bCs/>
          <w:i w:val="0"/>
          <w:color w:val="0000FF"/>
          <w:sz w:val="24"/>
        </w:rPr>
        <w:t>10</w:t>
      </w:r>
      <w:r w:rsidRPr="00651D8E">
        <w:rPr>
          <w:rFonts w:asciiTheme="majorBidi" w:hAnsiTheme="majorBidi" w:cstheme="majorBidi"/>
          <w:b/>
          <w:bCs/>
          <w:i w:val="0"/>
          <w:color w:val="0000FF"/>
          <w:sz w:val="24"/>
        </w:rPr>
        <w:t>.</w:t>
      </w:r>
      <w:r>
        <w:rPr>
          <w:rFonts w:asciiTheme="majorBidi" w:hAnsiTheme="majorBidi" w:cstheme="majorBidi"/>
          <w:b/>
          <w:bCs/>
          <w:i w:val="0"/>
          <w:color w:val="0000FF"/>
          <w:sz w:val="24"/>
        </w:rPr>
        <w:t xml:space="preserve"> </w:t>
      </w:r>
      <w:r w:rsidRPr="00651D8E">
        <w:rPr>
          <w:rFonts w:asciiTheme="majorBidi" w:hAnsiTheme="majorBidi" w:cstheme="majorBidi"/>
          <w:b/>
          <w:bCs/>
          <w:i w:val="0"/>
          <w:color w:val="0000FF"/>
          <w:sz w:val="24"/>
        </w:rPr>
        <w:t>LE RAFFINAGE</w:t>
      </w:r>
      <w:bookmarkEnd w:id="115"/>
      <w:bookmarkEnd w:id="116"/>
      <w:bookmarkEnd w:id="117"/>
      <w:bookmarkEnd w:id="118"/>
      <w:bookmarkEnd w:id="119"/>
      <w:bookmarkEnd w:id="120"/>
    </w:p>
    <w:p w:rsidR="008F715D" w:rsidRPr="00651D8E" w:rsidRDefault="008F715D" w:rsidP="008F715D"/>
    <w:p w:rsidR="008F715D" w:rsidRDefault="008F715D" w:rsidP="008F715D">
      <w:pPr>
        <w:ind w:right="26"/>
        <w:jc w:val="both"/>
        <w:rPr>
          <w:rFonts w:asciiTheme="majorBidi" w:hAnsiTheme="majorBidi" w:cstheme="majorBidi"/>
        </w:rPr>
      </w:pPr>
      <w:r w:rsidRPr="004B14A6">
        <w:rPr>
          <w:rFonts w:asciiTheme="majorBidi" w:hAnsiTheme="majorBidi" w:cstheme="majorBidi"/>
        </w:rPr>
        <w:t>Au terme des six premiers mois de 2016, l’industrie de raffinage du pétrole est marquée par un raffermissement de son activité, favorisé par un fonctionnement sans incident de l’outil de production</w:t>
      </w:r>
      <w:r>
        <w:rPr>
          <w:rFonts w:asciiTheme="majorBidi" w:hAnsiTheme="majorBidi" w:cstheme="majorBidi"/>
        </w:rPr>
        <w:t>,</w:t>
      </w:r>
      <w:r w:rsidRPr="004B14A6">
        <w:rPr>
          <w:rFonts w:asciiTheme="majorBidi" w:hAnsiTheme="majorBidi" w:cstheme="majorBidi"/>
        </w:rPr>
        <w:t xml:space="preserve"> à la suite des travaux de réhabilitation réalisés les années précédentes. Ainsi, le</w:t>
      </w:r>
      <w:r w:rsidRPr="00317AFA">
        <w:rPr>
          <w:rFonts w:asciiTheme="majorBidi" w:hAnsiTheme="majorBidi" w:cstheme="majorBidi"/>
        </w:rPr>
        <w:t xml:space="preserve"> </w:t>
      </w:r>
      <w:r>
        <w:rPr>
          <w:rFonts w:asciiTheme="majorBidi" w:hAnsiTheme="majorBidi" w:cstheme="majorBidi"/>
        </w:rPr>
        <w:t>volume</w:t>
      </w:r>
      <w:r w:rsidRPr="00317AFA">
        <w:rPr>
          <w:rFonts w:asciiTheme="majorBidi" w:hAnsiTheme="majorBidi" w:cstheme="majorBidi"/>
        </w:rPr>
        <w:t xml:space="preserve"> </w:t>
      </w:r>
      <w:r>
        <w:rPr>
          <w:rFonts w:asciiTheme="majorBidi" w:hAnsiTheme="majorBidi" w:cstheme="majorBidi"/>
        </w:rPr>
        <w:t xml:space="preserve">de brut traité </w:t>
      </w:r>
      <w:r w:rsidRPr="00317AFA">
        <w:rPr>
          <w:rFonts w:asciiTheme="majorBidi" w:hAnsiTheme="majorBidi" w:cstheme="majorBidi"/>
        </w:rPr>
        <w:t>s’</w:t>
      </w:r>
      <w:r>
        <w:rPr>
          <w:rFonts w:asciiTheme="majorBidi" w:hAnsiTheme="majorBidi" w:cstheme="majorBidi"/>
        </w:rPr>
        <w:t xml:space="preserve">est </w:t>
      </w:r>
      <w:r w:rsidRPr="00317AFA">
        <w:rPr>
          <w:rFonts w:asciiTheme="majorBidi" w:hAnsiTheme="majorBidi" w:cstheme="majorBidi"/>
        </w:rPr>
        <w:t>accr</w:t>
      </w:r>
      <w:r>
        <w:rPr>
          <w:rFonts w:asciiTheme="majorBidi" w:hAnsiTheme="majorBidi" w:cstheme="majorBidi"/>
        </w:rPr>
        <w:t>u de 32%</w:t>
      </w:r>
      <w:r w:rsidRPr="00317AFA">
        <w:rPr>
          <w:rFonts w:asciiTheme="majorBidi" w:hAnsiTheme="majorBidi" w:cstheme="majorBidi"/>
        </w:rPr>
        <w:t xml:space="preserve">, passant à 487 519 tonnes métriques. </w:t>
      </w:r>
      <w:r>
        <w:rPr>
          <w:rFonts w:asciiTheme="majorBidi" w:hAnsiTheme="majorBidi" w:cstheme="majorBidi"/>
        </w:rPr>
        <w:t>Afin de combler le déficit structurel et satisfaire le marché local, la société a dû importer des produits pétroliers raffinés pour un volume de 137 247 tonnes métriques, dont le gasoil représente 67,9% du total. Comparativement à fin juin 2015, les quantités importées ont connu une baisse de 3,3%.</w:t>
      </w:r>
    </w:p>
    <w:p w:rsidR="008F715D" w:rsidRPr="00317AFA" w:rsidRDefault="008F715D" w:rsidP="008F715D">
      <w:pPr>
        <w:ind w:right="26"/>
        <w:jc w:val="both"/>
        <w:rPr>
          <w:rFonts w:asciiTheme="majorBidi" w:hAnsiTheme="majorBidi" w:cstheme="majorBidi"/>
        </w:rPr>
      </w:pPr>
    </w:p>
    <w:p w:rsidR="008F715D" w:rsidRPr="00317AFA" w:rsidRDefault="008F715D" w:rsidP="008F715D">
      <w:pPr>
        <w:ind w:right="26"/>
        <w:jc w:val="both"/>
        <w:rPr>
          <w:rFonts w:asciiTheme="majorBidi" w:hAnsiTheme="majorBidi" w:cstheme="majorBidi"/>
        </w:rPr>
      </w:pPr>
      <w:r>
        <w:rPr>
          <w:rFonts w:asciiTheme="majorBidi" w:hAnsiTheme="majorBidi" w:cstheme="majorBidi"/>
        </w:rPr>
        <w:t xml:space="preserve">Sur le plan commercial, </w:t>
      </w:r>
      <w:r w:rsidRPr="00317AFA">
        <w:rPr>
          <w:rFonts w:asciiTheme="majorBidi" w:hAnsiTheme="majorBidi" w:cstheme="majorBidi"/>
        </w:rPr>
        <w:t xml:space="preserve">les ventes </w:t>
      </w:r>
      <w:r>
        <w:rPr>
          <w:rFonts w:asciiTheme="majorBidi" w:hAnsiTheme="majorBidi" w:cstheme="majorBidi"/>
        </w:rPr>
        <w:t xml:space="preserve">de produits pétroliers raffinés </w:t>
      </w:r>
      <w:r w:rsidRPr="00317AFA">
        <w:rPr>
          <w:rFonts w:asciiTheme="majorBidi" w:hAnsiTheme="majorBidi" w:cstheme="majorBidi"/>
        </w:rPr>
        <w:t xml:space="preserve">ont évolué </w:t>
      </w:r>
      <w:r>
        <w:rPr>
          <w:rFonts w:asciiTheme="majorBidi" w:hAnsiTheme="majorBidi" w:cstheme="majorBidi"/>
        </w:rPr>
        <w:t xml:space="preserve">de manière ascendante </w:t>
      </w:r>
      <w:r w:rsidRPr="00317AFA">
        <w:rPr>
          <w:rFonts w:asciiTheme="majorBidi" w:hAnsiTheme="majorBidi" w:cstheme="majorBidi"/>
        </w:rPr>
        <w:t>tant su</w:t>
      </w:r>
      <w:r>
        <w:rPr>
          <w:rFonts w:asciiTheme="majorBidi" w:hAnsiTheme="majorBidi" w:cstheme="majorBidi"/>
        </w:rPr>
        <w:t>r le marché local qu’à l’export</w:t>
      </w:r>
      <w:r w:rsidRPr="00317AFA">
        <w:rPr>
          <w:rFonts w:asciiTheme="majorBidi" w:hAnsiTheme="majorBidi" w:cstheme="majorBidi"/>
        </w:rPr>
        <w:t xml:space="preserve">. </w:t>
      </w:r>
      <w:r>
        <w:rPr>
          <w:rFonts w:asciiTheme="majorBidi" w:hAnsiTheme="majorBidi" w:cstheme="majorBidi"/>
        </w:rPr>
        <w:t>Cependant,</w:t>
      </w:r>
      <w:r w:rsidRPr="00A721F0">
        <w:rPr>
          <w:rFonts w:asciiTheme="majorBidi" w:hAnsiTheme="majorBidi" w:cstheme="majorBidi"/>
        </w:rPr>
        <w:t xml:space="preserve"> la révision à la baisse des prix des carburants à la pompe observée en début d’année </w:t>
      </w:r>
      <w:r>
        <w:rPr>
          <w:rFonts w:asciiTheme="majorBidi" w:hAnsiTheme="majorBidi" w:cstheme="majorBidi"/>
        </w:rPr>
        <w:t>et la baisse des cours du pétrole sur le marché international ont induit la régression du</w:t>
      </w:r>
      <w:r w:rsidRPr="00317AFA">
        <w:rPr>
          <w:rFonts w:asciiTheme="majorBidi" w:hAnsiTheme="majorBidi" w:cstheme="majorBidi"/>
        </w:rPr>
        <w:t xml:space="preserve"> chiffre d’affaires de 2</w:t>
      </w:r>
      <w:r>
        <w:rPr>
          <w:rFonts w:asciiTheme="majorBidi" w:hAnsiTheme="majorBidi" w:cstheme="majorBidi"/>
        </w:rPr>
        <w:t>8,5</w:t>
      </w:r>
      <w:r w:rsidRPr="00317AFA">
        <w:rPr>
          <w:rFonts w:asciiTheme="majorBidi" w:hAnsiTheme="majorBidi" w:cstheme="majorBidi"/>
        </w:rPr>
        <w:t>% pour se situer à 116 mi</w:t>
      </w:r>
      <w:r>
        <w:rPr>
          <w:rFonts w:asciiTheme="majorBidi" w:hAnsiTheme="majorBidi" w:cstheme="majorBidi"/>
        </w:rPr>
        <w:t>lliards de FCFA à fin juin 2016</w:t>
      </w:r>
      <w:r w:rsidRPr="00317AFA">
        <w:rPr>
          <w:rFonts w:asciiTheme="majorBidi" w:hAnsiTheme="majorBidi" w:cstheme="majorBidi"/>
        </w:rPr>
        <w:t>.</w:t>
      </w:r>
    </w:p>
    <w:p w:rsidR="008F715D" w:rsidRPr="00317AFA" w:rsidRDefault="008F715D" w:rsidP="008F715D">
      <w:pPr>
        <w:ind w:right="26"/>
        <w:jc w:val="both"/>
        <w:rPr>
          <w:rFonts w:asciiTheme="majorBidi" w:hAnsiTheme="majorBidi" w:cstheme="majorBidi"/>
          <w:bCs/>
        </w:rPr>
      </w:pPr>
    </w:p>
    <w:p w:rsidR="008F715D" w:rsidRDefault="008F715D" w:rsidP="008F715D">
      <w:pPr>
        <w:rPr>
          <w:rFonts w:asciiTheme="majorBidi" w:hAnsiTheme="majorBidi" w:cstheme="majorBidi"/>
          <w:b/>
          <w:bCs/>
          <w:i/>
          <w:iCs/>
        </w:rPr>
      </w:pPr>
      <w:r w:rsidRPr="00CB1F5B">
        <w:rPr>
          <w:rFonts w:asciiTheme="majorBidi" w:hAnsiTheme="majorBidi" w:cstheme="majorBidi"/>
          <w:b/>
          <w:bCs/>
          <w:i/>
          <w:iCs/>
        </w:rPr>
        <w:t>Evolution de l’activité de raffinage</w:t>
      </w:r>
    </w:p>
    <w:tbl>
      <w:tblPr>
        <w:tblW w:w="9087" w:type="dxa"/>
        <w:tblInd w:w="55" w:type="dxa"/>
        <w:tblLayout w:type="fixed"/>
        <w:tblCellMar>
          <w:left w:w="70" w:type="dxa"/>
          <w:right w:w="70" w:type="dxa"/>
        </w:tblCellMar>
        <w:tblLook w:val="04A0"/>
      </w:tblPr>
      <w:tblGrid>
        <w:gridCol w:w="4840"/>
        <w:gridCol w:w="1415"/>
        <w:gridCol w:w="1416"/>
        <w:gridCol w:w="1416"/>
      </w:tblGrid>
      <w:tr w:rsidR="008F715D" w:rsidRPr="00DC702E"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w:t>
            </w:r>
          </w:p>
        </w:tc>
        <w:tc>
          <w:tcPr>
            <w:tcW w:w="4247"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Premier semestre</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2015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2016</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Var 16/15</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b/>
                <w:bCs/>
                <w:color w:val="000000"/>
              </w:rPr>
            </w:pPr>
            <w:r w:rsidRPr="00DC702E">
              <w:rPr>
                <w:b/>
                <w:bCs/>
                <w:color w:val="000000"/>
                <w:sz w:val="22"/>
                <w:szCs w:val="22"/>
              </w:rPr>
              <w:t xml:space="preserve">TOTAL DU BRUT TRAITE </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color w:val="000000"/>
              </w:rPr>
            </w:pPr>
            <w:r w:rsidRPr="00DC702E">
              <w:rPr>
                <w:b/>
                <w:bCs/>
                <w:color w:val="000000"/>
                <w:sz w:val="22"/>
                <w:szCs w:val="22"/>
              </w:rPr>
              <w:t>368 125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color w:val="000000"/>
              </w:rPr>
            </w:pPr>
            <w:r w:rsidRPr="00DC702E">
              <w:rPr>
                <w:b/>
                <w:bCs/>
                <w:color w:val="000000"/>
                <w:sz w:val="22"/>
                <w:szCs w:val="22"/>
              </w:rPr>
              <w:t>487 518</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rPr>
            </w:pPr>
            <w:r w:rsidRPr="00DC702E">
              <w:rPr>
                <w:b/>
                <w:bCs/>
                <w:sz w:val="22"/>
                <w:szCs w:val="22"/>
              </w:rPr>
              <w:t>32,4%</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xml:space="preserve">    Compte propre (tonnes métriques)</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368 125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487 518</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32,4%</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Default="008F715D" w:rsidP="002105A0">
            <w:pPr>
              <w:rPr>
                <w:b/>
                <w:bCs/>
                <w:color w:val="000000"/>
              </w:rPr>
            </w:pPr>
            <w:r>
              <w:rPr>
                <w:b/>
                <w:bCs/>
                <w:color w:val="000000"/>
                <w:sz w:val="22"/>
                <w:szCs w:val="22"/>
              </w:rPr>
              <w:t>IMPORTATIONS DE PRODUITS PETROLIERS (TM)</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Default="008F715D" w:rsidP="002105A0">
            <w:pPr>
              <w:jc w:val="center"/>
              <w:rPr>
                <w:b/>
                <w:bCs/>
                <w:color w:val="000000"/>
              </w:rPr>
            </w:pPr>
            <w:r>
              <w:rPr>
                <w:b/>
                <w:bCs/>
                <w:color w:val="000000"/>
                <w:sz w:val="22"/>
                <w:szCs w:val="22"/>
              </w:rPr>
              <w:t>141 945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Default="008F715D" w:rsidP="002105A0">
            <w:pPr>
              <w:jc w:val="center"/>
              <w:rPr>
                <w:b/>
                <w:bCs/>
                <w:color w:val="000000"/>
              </w:rPr>
            </w:pPr>
            <w:r>
              <w:rPr>
                <w:b/>
                <w:bCs/>
                <w:color w:val="000000"/>
                <w:sz w:val="22"/>
                <w:szCs w:val="22"/>
              </w:rPr>
              <w:t>137 247</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Default="008F715D" w:rsidP="002105A0">
            <w:pPr>
              <w:jc w:val="center"/>
              <w:rPr>
                <w:b/>
                <w:bCs/>
                <w:color w:val="FF0000"/>
              </w:rPr>
            </w:pPr>
            <w:r>
              <w:rPr>
                <w:b/>
                <w:bCs/>
                <w:color w:val="FF0000"/>
                <w:sz w:val="22"/>
                <w:szCs w:val="22"/>
              </w:rPr>
              <w:t>-3,3%</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b/>
                <w:bCs/>
                <w:color w:val="000000"/>
              </w:rPr>
            </w:pPr>
            <w:r w:rsidRPr="00DC702E">
              <w:rPr>
                <w:b/>
                <w:bCs/>
                <w:color w:val="000000"/>
                <w:sz w:val="22"/>
                <w:szCs w:val="22"/>
              </w:rPr>
              <w:t>VENTES DE SOGARA</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 </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 </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 </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xml:space="preserve">    Butane (TM)</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20 185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20 735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2,7%</w:t>
            </w:r>
          </w:p>
        </w:tc>
      </w:tr>
      <w:tr w:rsidR="008F715D" w:rsidRPr="00DC702E" w:rsidTr="002105A0">
        <w:trPr>
          <w:trHeight w:val="40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xml:space="preserve">    Super (m</w:t>
            </w:r>
            <w:r w:rsidRPr="00DC702E">
              <w:rPr>
                <w:color w:val="000000"/>
                <w:sz w:val="22"/>
                <w:szCs w:val="22"/>
                <w:vertAlign w:val="superscript"/>
              </w:rPr>
              <w:t>3</w:t>
            </w:r>
            <w:r w:rsidRPr="00DC702E">
              <w:rPr>
                <w:color w:val="000000"/>
                <w:sz w:val="22"/>
                <w:szCs w:val="22"/>
              </w:rPr>
              <w:t>)</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44 967</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53 338</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18,6%</w:t>
            </w:r>
          </w:p>
        </w:tc>
      </w:tr>
      <w:tr w:rsidR="008F715D" w:rsidRPr="00DC702E" w:rsidTr="002105A0">
        <w:trPr>
          <w:trHeight w:val="40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xml:space="preserve">    Pétrole lampant (m</w:t>
            </w:r>
            <w:r w:rsidRPr="00DC702E">
              <w:rPr>
                <w:color w:val="000000"/>
                <w:sz w:val="22"/>
                <w:szCs w:val="22"/>
                <w:vertAlign w:val="superscript"/>
              </w:rPr>
              <w:t>3</w:t>
            </w:r>
            <w:r w:rsidRPr="00DC702E">
              <w:rPr>
                <w:color w:val="000000"/>
                <w:sz w:val="22"/>
                <w:szCs w:val="22"/>
              </w:rPr>
              <w:t>)</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12 152</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16 322</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34,3%</w:t>
            </w:r>
          </w:p>
        </w:tc>
      </w:tr>
      <w:tr w:rsidR="008F715D" w:rsidRPr="00DC702E" w:rsidTr="002105A0">
        <w:trPr>
          <w:trHeight w:val="40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xml:space="preserve">    Turbine fuel 1 (m</w:t>
            </w:r>
            <w:r w:rsidRPr="00DC702E">
              <w:rPr>
                <w:color w:val="000000"/>
                <w:sz w:val="22"/>
                <w:szCs w:val="22"/>
                <w:vertAlign w:val="superscript"/>
              </w:rPr>
              <w:t>3</w:t>
            </w:r>
            <w:r w:rsidRPr="00DC702E">
              <w:rPr>
                <w:color w:val="000000"/>
                <w:sz w:val="22"/>
                <w:szCs w:val="22"/>
              </w:rPr>
              <w:t>)</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18 985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27 290</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43,7%</w:t>
            </w:r>
          </w:p>
        </w:tc>
      </w:tr>
      <w:tr w:rsidR="008F715D" w:rsidRPr="00DC702E" w:rsidTr="002105A0">
        <w:trPr>
          <w:trHeight w:val="40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xml:space="preserve">    Gasoil moteur (m</w:t>
            </w:r>
            <w:r w:rsidRPr="00DC702E">
              <w:rPr>
                <w:color w:val="000000"/>
                <w:sz w:val="22"/>
                <w:szCs w:val="22"/>
                <w:vertAlign w:val="superscript"/>
              </w:rPr>
              <w:t>3</w:t>
            </w:r>
            <w:r w:rsidRPr="00DC702E">
              <w:rPr>
                <w:color w:val="000000"/>
                <w:sz w:val="22"/>
                <w:szCs w:val="22"/>
              </w:rPr>
              <w:t>)</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239 443</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248 705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3,9%</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xml:space="preserve">     Résidu atmosphérique export (TM)</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217 157</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277 333</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27,7%</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b/>
                <w:bCs/>
                <w:color w:val="000000"/>
              </w:rPr>
            </w:pPr>
            <w:r w:rsidRPr="00DC702E">
              <w:rPr>
                <w:b/>
                <w:bCs/>
                <w:color w:val="000000"/>
                <w:sz w:val="22"/>
                <w:szCs w:val="22"/>
              </w:rPr>
              <w:t>CHIFFRE D’AFFAIRES (millions FCFA)</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color w:val="000000"/>
              </w:rPr>
            </w:pPr>
            <w:r w:rsidRPr="00DC702E">
              <w:rPr>
                <w:b/>
                <w:bCs/>
                <w:color w:val="000000"/>
                <w:sz w:val="22"/>
                <w:szCs w:val="22"/>
              </w:rPr>
              <w:t>162 206</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color w:val="000000"/>
              </w:rPr>
            </w:pPr>
            <w:r w:rsidRPr="00DC702E">
              <w:rPr>
                <w:b/>
                <w:bCs/>
                <w:color w:val="000000"/>
                <w:sz w:val="22"/>
                <w:szCs w:val="22"/>
              </w:rPr>
              <w:t>115 956</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color w:val="FF0000"/>
              </w:rPr>
            </w:pPr>
            <w:r w:rsidRPr="00DC702E">
              <w:rPr>
                <w:b/>
                <w:bCs/>
                <w:color w:val="FF0000"/>
                <w:sz w:val="22"/>
                <w:szCs w:val="22"/>
              </w:rPr>
              <w:t>-28,5%</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xml:space="preserve">    Chiffre d’affaires intérieur</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117 494</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87 483</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FF0000"/>
              </w:rPr>
            </w:pPr>
            <w:r w:rsidRPr="00DC702E">
              <w:rPr>
                <w:color w:val="FF0000"/>
                <w:sz w:val="22"/>
                <w:szCs w:val="22"/>
              </w:rPr>
              <w:t>-25,5%</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xml:space="preserve">    Chiffre d’affaires export</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44 712</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28 473</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FF0000"/>
              </w:rPr>
            </w:pPr>
            <w:r w:rsidRPr="00DC702E">
              <w:rPr>
                <w:color w:val="FF0000"/>
                <w:sz w:val="22"/>
                <w:szCs w:val="22"/>
              </w:rPr>
              <w:t>-36,3%</w:t>
            </w:r>
          </w:p>
        </w:tc>
      </w:tr>
    </w:tbl>
    <w:p w:rsidR="008F715D" w:rsidRPr="00651D8E" w:rsidRDefault="008F715D" w:rsidP="008F715D">
      <w:pPr>
        <w:jc w:val="both"/>
        <w:rPr>
          <w:rFonts w:asciiTheme="majorBidi" w:hAnsiTheme="majorBidi" w:cstheme="majorBidi"/>
          <w:bCs/>
          <w:iCs/>
          <w:sz w:val="16"/>
          <w:szCs w:val="16"/>
        </w:rPr>
      </w:pPr>
      <w:r w:rsidRPr="00651D8E">
        <w:rPr>
          <w:rFonts w:asciiTheme="majorBidi" w:hAnsiTheme="majorBidi" w:cstheme="majorBidi"/>
          <w:b/>
          <w:bCs/>
          <w:i/>
          <w:iCs/>
          <w:color w:val="000000"/>
          <w:sz w:val="16"/>
          <w:szCs w:val="16"/>
        </w:rPr>
        <w:t>Source : Sogara</w:t>
      </w:r>
    </w:p>
    <w:p w:rsidR="008F715D" w:rsidRPr="004B14A6" w:rsidRDefault="008F715D" w:rsidP="008F715D">
      <w:pPr>
        <w:jc w:val="both"/>
        <w:rPr>
          <w:rFonts w:asciiTheme="majorBidi" w:hAnsiTheme="majorBidi" w:cstheme="majorBidi"/>
        </w:rPr>
      </w:pPr>
      <w:bookmarkStart w:id="121" w:name="_Toc356891320"/>
      <w:bookmarkStart w:id="122" w:name="_Toc389653144"/>
      <w:bookmarkStart w:id="123" w:name="_Toc389653372"/>
      <w:bookmarkStart w:id="124" w:name="_Toc420027527"/>
    </w:p>
    <w:p w:rsidR="008F715D" w:rsidRPr="00651D8E" w:rsidRDefault="008F715D" w:rsidP="008F715D">
      <w:pPr>
        <w:pStyle w:val="Titre2"/>
        <w:rPr>
          <w:rFonts w:asciiTheme="majorBidi" w:hAnsiTheme="majorBidi" w:cstheme="majorBidi"/>
          <w:b/>
          <w:bCs/>
          <w:i w:val="0"/>
          <w:color w:val="0000FF"/>
          <w:sz w:val="24"/>
        </w:rPr>
      </w:pPr>
      <w:bookmarkStart w:id="125" w:name="_Toc462990829"/>
      <w:r w:rsidRPr="00651D8E">
        <w:rPr>
          <w:rFonts w:asciiTheme="majorBidi" w:hAnsiTheme="majorBidi" w:cstheme="majorBidi"/>
          <w:b/>
          <w:bCs/>
          <w:i w:val="0"/>
          <w:color w:val="0000FF"/>
          <w:sz w:val="24"/>
        </w:rPr>
        <w:t>I</w:t>
      </w:r>
      <w:r>
        <w:rPr>
          <w:rFonts w:asciiTheme="majorBidi" w:hAnsiTheme="majorBidi" w:cstheme="majorBidi"/>
          <w:b/>
          <w:bCs/>
          <w:i w:val="0"/>
          <w:color w:val="0000FF"/>
          <w:sz w:val="24"/>
        </w:rPr>
        <w:t>I</w:t>
      </w:r>
      <w:r w:rsidRPr="00651D8E">
        <w:rPr>
          <w:rFonts w:asciiTheme="majorBidi" w:hAnsiTheme="majorBidi" w:cstheme="majorBidi"/>
          <w:b/>
          <w:bCs/>
          <w:i w:val="0"/>
          <w:color w:val="0000FF"/>
          <w:sz w:val="24"/>
        </w:rPr>
        <w:t>.</w:t>
      </w:r>
      <w:r>
        <w:rPr>
          <w:rFonts w:asciiTheme="majorBidi" w:hAnsiTheme="majorBidi" w:cstheme="majorBidi"/>
          <w:b/>
          <w:bCs/>
          <w:i w:val="0"/>
          <w:color w:val="0000FF"/>
          <w:sz w:val="24"/>
        </w:rPr>
        <w:t>11</w:t>
      </w:r>
      <w:r w:rsidRPr="00651D8E">
        <w:rPr>
          <w:rFonts w:asciiTheme="majorBidi" w:hAnsiTheme="majorBidi" w:cstheme="majorBidi"/>
          <w:b/>
          <w:bCs/>
          <w:i w:val="0"/>
          <w:color w:val="0000FF"/>
          <w:sz w:val="24"/>
        </w:rPr>
        <w:t>.</w:t>
      </w:r>
      <w:r>
        <w:rPr>
          <w:rFonts w:asciiTheme="majorBidi" w:hAnsiTheme="majorBidi" w:cstheme="majorBidi"/>
          <w:b/>
          <w:bCs/>
          <w:i w:val="0"/>
          <w:color w:val="0000FF"/>
          <w:sz w:val="24"/>
        </w:rPr>
        <w:t xml:space="preserve"> </w:t>
      </w:r>
      <w:r w:rsidRPr="00651D8E">
        <w:rPr>
          <w:rFonts w:asciiTheme="majorBidi" w:hAnsiTheme="majorBidi" w:cstheme="majorBidi"/>
          <w:b/>
          <w:bCs/>
          <w:i w:val="0"/>
          <w:color w:val="0000FF"/>
          <w:sz w:val="24"/>
        </w:rPr>
        <w:t>LA PRODUCTION ET LA DISTRIBUTION D’EAU ET D’ELECTRICITE</w:t>
      </w:r>
      <w:bookmarkEnd w:id="121"/>
      <w:bookmarkEnd w:id="122"/>
      <w:bookmarkEnd w:id="123"/>
      <w:bookmarkEnd w:id="124"/>
      <w:bookmarkEnd w:id="125"/>
    </w:p>
    <w:p w:rsidR="008F715D" w:rsidRPr="00651D8E" w:rsidRDefault="008F715D" w:rsidP="008F715D">
      <w:pPr>
        <w:jc w:val="both"/>
        <w:rPr>
          <w:rFonts w:asciiTheme="majorBidi" w:hAnsiTheme="majorBidi" w:cstheme="majorBidi"/>
        </w:rPr>
      </w:pPr>
    </w:p>
    <w:p w:rsidR="008F715D" w:rsidRDefault="008F715D" w:rsidP="008F715D">
      <w:pPr>
        <w:ind w:right="26"/>
        <w:jc w:val="both"/>
        <w:rPr>
          <w:rFonts w:asciiTheme="majorBidi" w:hAnsiTheme="majorBidi" w:cstheme="majorBidi"/>
        </w:rPr>
      </w:pPr>
      <w:bookmarkStart w:id="126" w:name="_Toc356891323"/>
      <w:bookmarkStart w:id="127" w:name="_Toc389653147"/>
      <w:bookmarkStart w:id="128" w:name="_Toc389653375"/>
      <w:r w:rsidRPr="004B14A6">
        <w:rPr>
          <w:rFonts w:asciiTheme="majorBidi" w:hAnsiTheme="majorBidi" w:cstheme="majorBidi"/>
        </w:rPr>
        <w:t>La branche énergie et eau a consolidé ses résultats au cours des six premiers mois au regard de l’évolution des principaux indicateurs, imputable aux travaux d’amélioration de l’outil de production et du renforcement des capacités installées.</w:t>
      </w:r>
    </w:p>
    <w:p w:rsidR="008F715D" w:rsidRPr="00651D8E" w:rsidRDefault="008F715D" w:rsidP="008F715D">
      <w:pPr>
        <w:jc w:val="both"/>
        <w:rPr>
          <w:rFonts w:asciiTheme="majorBidi" w:hAnsiTheme="majorBidi" w:cstheme="majorBidi"/>
        </w:rPr>
      </w:pPr>
    </w:p>
    <w:p w:rsidR="008F715D" w:rsidRPr="00651D8E" w:rsidRDefault="008F715D" w:rsidP="008F715D">
      <w:pPr>
        <w:pStyle w:val="Titre2"/>
        <w:rPr>
          <w:rFonts w:asciiTheme="majorBidi" w:hAnsiTheme="majorBidi" w:cstheme="majorBidi"/>
          <w:b/>
          <w:bCs/>
          <w:color w:val="0000FF"/>
          <w:sz w:val="24"/>
        </w:rPr>
      </w:pPr>
      <w:bookmarkStart w:id="129" w:name="_Toc356891321"/>
      <w:bookmarkStart w:id="130" w:name="_Toc389653145"/>
      <w:bookmarkStart w:id="131" w:name="_Toc389653373"/>
      <w:bookmarkStart w:id="132" w:name="_Toc397691613"/>
      <w:bookmarkStart w:id="133" w:name="_Toc420027528"/>
      <w:bookmarkStart w:id="134" w:name="_Toc462990830"/>
      <w:r>
        <w:rPr>
          <w:rFonts w:asciiTheme="majorBidi" w:hAnsiTheme="majorBidi" w:cstheme="majorBidi"/>
          <w:b/>
          <w:bCs/>
          <w:color w:val="0000FF"/>
          <w:sz w:val="24"/>
        </w:rPr>
        <w:t>I</w:t>
      </w:r>
      <w:r w:rsidRPr="00651D8E">
        <w:rPr>
          <w:rFonts w:asciiTheme="majorBidi" w:hAnsiTheme="majorBidi" w:cstheme="majorBidi"/>
          <w:b/>
          <w:bCs/>
          <w:color w:val="0000FF"/>
          <w:sz w:val="24"/>
        </w:rPr>
        <w:t>I.</w:t>
      </w:r>
      <w:r>
        <w:rPr>
          <w:rFonts w:asciiTheme="majorBidi" w:hAnsiTheme="majorBidi" w:cstheme="majorBidi"/>
          <w:b/>
          <w:bCs/>
          <w:color w:val="0000FF"/>
          <w:sz w:val="24"/>
        </w:rPr>
        <w:t>11</w:t>
      </w:r>
      <w:r w:rsidRPr="00651D8E">
        <w:rPr>
          <w:rFonts w:asciiTheme="majorBidi" w:hAnsiTheme="majorBidi" w:cstheme="majorBidi"/>
          <w:b/>
          <w:bCs/>
          <w:color w:val="0000FF"/>
          <w:sz w:val="24"/>
        </w:rPr>
        <w:t>.1. L’électricité</w:t>
      </w:r>
      <w:bookmarkEnd w:id="129"/>
      <w:bookmarkEnd w:id="130"/>
      <w:bookmarkEnd w:id="131"/>
      <w:bookmarkEnd w:id="132"/>
      <w:bookmarkEnd w:id="133"/>
      <w:bookmarkEnd w:id="134"/>
    </w:p>
    <w:p w:rsidR="008F715D" w:rsidRPr="00651D8E" w:rsidRDefault="008F715D" w:rsidP="008F715D">
      <w:pPr>
        <w:jc w:val="both"/>
        <w:rPr>
          <w:rFonts w:asciiTheme="majorBidi" w:hAnsiTheme="majorBidi" w:cstheme="majorBidi"/>
        </w:rPr>
      </w:pPr>
    </w:p>
    <w:p w:rsidR="008F715D" w:rsidRPr="00317AFA" w:rsidRDefault="008F715D" w:rsidP="008F715D">
      <w:pPr>
        <w:ind w:right="26"/>
        <w:jc w:val="both"/>
        <w:rPr>
          <w:rFonts w:asciiTheme="majorBidi" w:hAnsiTheme="majorBidi" w:cstheme="majorBidi"/>
        </w:rPr>
      </w:pPr>
      <w:r w:rsidRPr="00B06894">
        <w:rPr>
          <w:rFonts w:asciiTheme="majorBidi" w:hAnsiTheme="majorBidi" w:cstheme="majorBidi"/>
        </w:rPr>
        <w:t>A fin juin 2016, la branche électricité a poursuivi son embellie, suite au déploiement de nouveaux groupes électrogènes dans certaines localités de l’intérieur du pays. Ainsi, la production nette d’électricité s’est accrue de 4,6% passant à 1 215 Gwh, sous l’impulsion des bons résultats de la SEEG</w:t>
      </w:r>
      <w:r>
        <w:rPr>
          <w:rFonts w:asciiTheme="majorBidi" w:hAnsiTheme="majorBidi" w:cstheme="majorBidi"/>
        </w:rPr>
        <w:t>.</w:t>
      </w:r>
    </w:p>
    <w:p w:rsidR="008F715D" w:rsidRDefault="008F715D" w:rsidP="008F715D">
      <w:pPr>
        <w:ind w:right="26"/>
        <w:jc w:val="both"/>
        <w:rPr>
          <w:rFonts w:asciiTheme="majorBidi" w:hAnsiTheme="majorBidi" w:cstheme="majorBidi"/>
        </w:rPr>
      </w:pPr>
    </w:p>
    <w:p w:rsidR="008F715D" w:rsidRDefault="008F715D" w:rsidP="008F715D">
      <w:pPr>
        <w:ind w:right="26"/>
        <w:jc w:val="both"/>
        <w:rPr>
          <w:rFonts w:asciiTheme="majorBidi" w:hAnsiTheme="majorBidi" w:cstheme="majorBidi"/>
        </w:rPr>
      </w:pPr>
      <w:r>
        <w:rPr>
          <w:rFonts w:asciiTheme="majorBidi" w:hAnsiTheme="majorBidi" w:cstheme="majorBidi"/>
        </w:rPr>
        <w:t>Dans le même temps, le</w:t>
      </w:r>
      <w:r w:rsidRPr="00317AFA">
        <w:rPr>
          <w:rFonts w:asciiTheme="majorBidi" w:hAnsiTheme="majorBidi" w:cstheme="majorBidi"/>
        </w:rPr>
        <w:t xml:space="preserve">s ventes </w:t>
      </w:r>
      <w:r>
        <w:rPr>
          <w:rFonts w:asciiTheme="majorBidi" w:hAnsiTheme="majorBidi" w:cstheme="majorBidi"/>
        </w:rPr>
        <w:t xml:space="preserve">d’électricité ont augmenté </w:t>
      </w:r>
      <w:r w:rsidRPr="00317AFA">
        <w:rPr>
          <w:rFonts w:asciiTheme="majorBidi" w:hAnsiTheme="majorBidi" w:cstheme="majorBidi"/>
        </w:rPr>
        <w:t xml:space="preserve">de </w:t>
      </w:r>
      <w:r>
        <w:rPr>
          <w:rFonts w:asciiTheme="majorBidi" w:hAnsiTheme="majorBidi" w:cstheme="majorBidi"/>
        </w:rPr>
        <w:t>9</w:t>
      </w:r>
      <w:r w:rsidRPr="00317AFA">
        <w:rPr>
          <w:rFonts w:asciiTheme="majorBidi" w:hAnsiTheme="majorBidi" w:cstheme="majorBidi"/>
        </w:rPr>
        <w:t>,</w:t>
      </w:r>
      <w:r>
        <w:rPr>
          <w:rFonts w:asciiTheme="majorBidi" w:hAnsiTheme="majorBidi" w:cstheme="majorBidi"/>
        </w:rPr>
        <w:t>7</w:t>
      </w:r>
      <w:r w:rsidRPr="00317AFA">
        <w:rPr>
          <w:rFonts w:asciiTheme="majorBidi" w:hAnsiTheme="majorBidi" w:cstheme="majorBidi"/>
        </w:rPr>
        <w:t xml:space="preserve">% pour s’établir à 937,3 </w:t>
      </w:r>
      <w:r>
        <w:rPr>
          <w:rFonts w:asciiTheme="majorBidi" w:hAnsiTheme="majorBidi" w:cstheme="majorBidi"/>
        </w:rPr>
        <w:t>G</w:t>
      </w:r>
      <w:r w:rsidRPr="00317AFA">
        <w:rPr>
          <w:rFonts w:asciiTheme="majorBidi" w:hAnsiTheme="majorBidi" w:cstheme="majorBidi"/>
        </w:rPr>
        <w:t>wh, soutenu</w:t>
      </w:r>
      <w:r>
        <w:rPr>
          <w:rFonts w:asciiTheme="majorBidi" w:hAnsiTheme="majorBidi" w:cstheme="majorBidi"/>
        </w:rPr>
        <w:t>es</w:t>
      </w:r>
      <w:r w:rsidRPr="00317AFA">
        <w:rPr>
          <w:rFonts w:asciiTheme="majorBidi" w:hAnsiTheme="majorBidi" w:cstheme="majorBidi"/>
        </w:rPr>
        <w:t xml:space="preserve"> par la demande des clients industriels et des ménages. </w:t>
      </w:r>
      <w:r>
        <w:rPr>
          <w:rFonts w:asciiTheme="majorBidi" w:hAnsiTheme="majorBidi" w:cstheme="majorBidi"/>
        </w:rPr>
        <w:t>En conséquence, l</w:t>
      </w:r>
      <w:r w:rsidRPr="00317AFA">
        <w:rPr>
          <w:rFonts w:asciiTheme="majorBidi" w:hAnsiTheme="majorBidi" w:cstheme="majorBidi"/>
        </w:rPr>
        <w:t xml:space="preserve">e chiffre d’affaires </w:t>
      </w:r>
      <w:r>
        <w:rPr>
          <w:rFonts w:asciiTheme="majorBidi" w:hAnsiTheme="majorBidi" w:cstheme="majorBidi"/>
        </w:rPr>
        <w:t xml:space="preserve">a enregistré une hausse de </w:t>
      </w:r>
      <w:r w:rsidRPr="00317AFA">
        <w:rPr>
          <w:rFonts w:asciiTheme="majorBidi" w:hAnsiTheme="majorBidi" w:cstheme="majorBidi"/>
        </w:rPr>
        <w:t>7,9% pour se situer à 88</w:t>
      </w:r>
      <w:r>
        <w:rPr>
          <w:rFonts w:asciiTheme="majorBidi" w:hAnsiTheme="majorBidi" w:cstheme="majorBidi"/>
        </w:rPr>
        <w:t>,5</w:t>
      </w:r>
      <w:r w:rsidRPr="00317AFA">
        <w:rPr>
          <w:rFonts w:asciiTheme="majorBidi" w:hAnsiTheme="majorBidi" w:cstheme="majorBidi"/>
        </w:rPr>
        <w:t xml:space="preserve"> milliards de FCFA.</w:t>
      </w:r>
    </w:p>
    <w:p w:rsidR="008F715D" w:rsidRDefault="008F715D" w:rsidP="008F715D">
      <w:pPr>
        <w:ind w:right="26"/>
        <w:jc w:val="both"/>
        <w:rPr>
          <w:rFonts w:asciiTheme="majorBidi" w:hAnsiTheme="majorBidi" w:cstheme="majorBidi"/>
        </w:rPr>
      </w:pPr>
    </w:p>
    <w:p w:rsidR="008F715D" w:rsidRDefault="008F715D" w:rsidP="008F715D">
      <w:pPr>
        <w:jc w:val="both"/>
        <w:rPr>
          <w:rFonts w:asciiTheme="majorBidi" w:hAnsiTheme="majorBidi" w:cstheme="majorBidi"/>
          <w:b/>
          <w:bCs/>
          <w:i/>
          <w:iCs/>
        </w:rPr>
      </w:pPr>
      <w:r w:rsidRPr="00CB1F5B">
        <w:rPr>
          <w:rFonts w:asciiTheme="majorBidi" w:hAnsiTheme="majorBidi" w:cstheme="majorBidi"/>
          <w:b/>
          <w:bCs/>
          <w:i/>
          <w:iCs/>
        </w:rPr>
        <w:t>Evolution de l'activité de la branche électricité</w:t>
      </w:r>
    </w:p>
    <w:tbl>
      <w:tblPr>
        <w:tblW w:w="9087" w:type="dxa"/>
        <w:tblInd w:w="55" w:type="dxa"/>
        <w:tblLayout w:type="fixed"/>
        <w:tblCellMar>
          <w:left w:w="70" w:type="dxa"/>
          <w:right w:w="70" w:type="dxa"/>
        </w:tblCellMar>
        <w:tblLook w:val="04A0"/>
      </w:tblPr>
      <w:tblGrid>
        <w:gridCol w:w="4840"/>
        <w:gridCol w:w="1415"/>
        <w:gridCol w:w="1416"/>
        <w:gridCol w:w="1416"/>
      </w:tblGrid>
      <w:tr w:rsidR="008F715D" w:rsidRPr="00DC702E"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w:t>
            </w:r>
          </w:p>
        </w:tc>
        <w:tc>
          <w:tcPr>
            <w:tcW w:w="4247"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Premier semestre</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2015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2016</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Var 16/15</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b/>
                <w:bCs/>
                <w:color w:val="000000"/>
              </w:rPr>
            </w:pPr>
            <w:r w:rsidRPr="00DC702E">
              <w:rPr>
                <w:b/>
                <w:bCs/>
                <w:color w:val="000000"/>
                <w:sz w:val="22"/>
                <w:szCs w:val="22"/>
              </w:rPr>
              <w:t>Production nette (en GWh)</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rPr>
            </w:pPr>
            <w:r w:rsidRPr="00DC702E">
              <w:rPr>
                <w:b/>
                <w:bCs/>
                <w:sz w:val="22"/>
                <w:szCs w:val="22"/>
              </w:rPr>
              <w:t>1 161,5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rPr>
            </w:pPr>
            <w:r w:rsidRPr="00DC702E">
              <w:rPr>
                <w:b/>
                <w:bCs/>
                <w:sz w:val="22"/>
                <w:szCs w:val="22"/>
              </w:rPr>
              <w:t>1 215,0</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rPr>
            </w:pPr>
            <w:r w:rsidRPr="00DC702E">
              <w:rPr>
                <w:b/>
                <w:bCs/>
                <w:sz w:val="22"/>
                <w:szCs w:val="22"/>
              </w:rPr>
              <w:t>4,6%</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r w:rsidRPr="00DC702E">
              <w:rPr>
                <w:sz w:val="22"/>
                <w:szCs w:val="22"/>
              </w:rPr>
              <w:t xml:space="preserve">     Production nette SEEG </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975,7</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1 032,6</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5,8%</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r w:rsidRPr="00DC702E">
              <w:rPr>
                <w:sz w:val="22"/>
                <w:szCs w:val="22"/>
              </w:rPr>
              <w:t xml:space="preserve">     Achats d'électricité à Telemenia (Lbv)</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185,8</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182,4</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FF0000"/>
              </w:rPr>
            </w:pPr>
            <w:r w:rsidRPr="00DC702E">
              <w:rPr>
                <w:color w:val="FF0000"/>
                <w:sz w:val="22"/>
                <w:szCs w:val="22"/>
              </w:rPr>
              <w:t>-1,8%</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b/>
                <w:bCs/>
                <w:color w:val="000000"/>
              </w:rPr>
            </w:pPr>
            <w:r w:rsidRPr="00DC702E">
              <w:rPr>
                <w:b/>
                <w:bCs/>
                <w:color w:val="000000"/>
                <w:sz w:val="22"/>
                <w:szCs w:val="22"/>
              </w:rPr>
              <w:t>Volumes total facturés hors cession (en GWh)</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rPr>
            </w:pPr>
            <w:r w:rsidRPr="00DC702E">
              <w:rPr>
                <w:b/>
                <w:bCs/>
                <w:sz w:val="22"/>
                <w:szCs w:val="22"/>
              </w:rPr>
              <w:t>854,3</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rPr>
            </w:pPr>
            <w:r w:rsidRPr="00DC702E">
              <w:rPr>
                <w:b/>
                <w:bCs/>
                <w:sz w:val="22"/>
                <w:szCs w:val="22"/>
              </w:rPr>
              <w:t>937,3</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rPr>
            </w:pPr>
            <w:r w:rsidRPr="00DC702E">
              <w:rPr>
                <w:b/>
                <w:bCs/>
                <w:sz w:val="22"/>
                <w:szCs w:val="22"/>
              </w:rPr>
              <w:t>9,7%</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xml:space="preserve">     Volumes facturés MT hors cession </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303,4</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326,1</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7,5%</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xml:space="preserve">     Volumes facturés  BT hors cession </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550,9</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611,2</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10,9%</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b/>
                <w:bCs/>
                <w:color w:val="000000"/>
              </w:rPr>
            </w:pPr>
            <w:r w:rsidRPr="00DC702E">
              <w:rPr>
                <w:b/>
                <w:bCs/>
                <w:color w:val="000000"/>
                <w:sz w:val="22"/>
                <w:szCs w:val="22"/>
              </w:rPr>
              <w:t>CA Total hors cession (en millions de FCFA)</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rPr>
            </w:pPr>
            <w:r w:rsidRPr="00DC702E">
              <w:rPr>
                <w:b/>
                <w:bCs/>
                <w:sz w:val="22"/>
                <w:szCs w:val="22"/>
              </w:rPr>
              <w:t>81 963,7</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rPr>
            </w:pPr>
            <w:r w:rsidRPr="00DC702E">
              <w:rPr>
                <w:b/>
                <w:bCs/>
                <w:sz w:val="22"/>
                <w:szCs w:val="22"/>
              </w:rPr>
              <w:t>88 479,0</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b/>
                <w:bCs/>
              </w:rPr>
            </w:pPr>
            <w:r w:rsidRPr="00DC702E">
              <w:rPr>
                <w:b/>
                <w:bCs/>
                <w:sz w:val="22"/>
                <w:szCs w:val="22"/>
              </w:rPr>
              <w:t>7,9%</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xml:space="preserve">     CA  MT hors cession</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24 685,0</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25 609,0</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3,7%</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xml:space="preserve">     CA  BT hors cession</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57 278,8</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62 870,0</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9,8%</w:t>
            </w:r>
          </w:p>
        </w:tc>
      </w:tr>
    </w:tbl>
    <w:p w:rsidR="008F715D" w:rsidRPr="00651D8E" w:rsidRDefault="008F715D" w:rsidP="008F715D">
      <w:pPr>
        <w:jc w:val="both"/>
        <w:rPr>
          <w:rFonts w:asciiTheme="majorBidi" w:hAnsiTheme="majorBidi" w:cstheme="majorBidi"/>
          <w:b/>
          <w:bCs/>
          <w:i/>
          <w:iCs/>
          <w:sz w:val="16"/>
          <w:szCs w:val="16"/>
        </w:rPr>
      </w:pPr>
      <w:r w:rsidRPr="00651D8E">
        <w:rPr>
          <w:rFonts w:asciiTheme="majorBidi" w:hAnsiTheme="majorBidi" w:cstheme="majorBidi"/>
          <w:b/>
          <w:bCs/>
          <w:i/>
          <w:iCs/>
          <w:sz w:val="16"/>
          <w:szCs w:val="16"/>
        </w:rPr>
        <w:t>Source : Seeg, Société de Patrimoine</w:t>
      </w:r>
    </w:p>
    <w:p w:rsidR="008F715D" w:rsidRPr="00651D8E" w:rsidRDefault="008F715D" w:rsidP="008F715D">
      <w:pPr>
        <w:jc w:val="both"/>
        <w:rPr>
          <w:rFonts w:asciiTheme="majorBidi" w:hAnsiTheme="majorBidi" w:cstheme="majorBidi"/>
        </w:rPr>
      </w:pPr>
    </w:p>
    <w:p w:rsidR="008F715D" w:rsidRPr="00651D8E" w:rsidRDefault="008F715D" w:rsidP="008F715D">
      <w:pPr>
        <w:pStyle w:val="Titre2"/>
        <w:rPr>
          <w:rFonts w:asciiTheme="majorBidi" w:hAnsiTheme="majorBidi" w:cstheme="majorBidi"/>
          <w:b/>
          <w:bCs/>
          <w:color w:val="0000FF"/>
          <w:sz w:val="24"/>
        </w:rPr>
      </w:pPr>
      <w:bookmarkStart w:id="135" w:name="_Toc356891322"/>
      <w:bookmarkStart w:id="136" w:name="_Toc389653146"/>
      <w:bookmarkStart w:id="137" w:name="_Toc389653374"/>
      <w:bookmarkStart w:id="138" w:name="_Toc397691614"/>
      <w:bookmarkStart w:id="139" w:name="_Toc420027529"/>
      <w:bookmarkStart w:id="140" w:name="_Toc462990831"/>
      <w:r>
        <w:rPr>
          <w:rFonts w:asciiTheme="majorBidi" w:hAnsiTheme="majorBidi" w:cstheme="majorBidi"/>
          <w:b/>
          <w:bCs/>
          <w:color w:val="0000FF"/>
          <w:sz w:val="24"/>
        </w:rPr>
        <w:t>I</w:t>
      </w:r>
      <w:r w:rsidRPr="00651D8E">
        <w:rPr>
          <w:rFonts w:asciiTheme="majorBidi" w:hAnsiTheme="majorBidi" w:cstheme="majorBidi"/>
          <w:b/>
          <w:bCs/>
          <w:color w:val="0000FF"/>
          <w:sz w:val="24"/>
        </w:rPr>
        <w:t>I.</w:t>
      </w:r>
      <w:r>
        <w:rPr>
          <w:rFonts w:asciiTheme="majorBidi" w:hAnsiTheme="majorBidi" w:cstheme="majorBidi"/>
          <w:b/>
          <w:bCs/>
          <w:color w:val="0000FF"/>
          <w:sz w:val="24"/>
        </w:rPr>
        <w:t>11</w:t>
      </w:r>
      <w:r w:rsidRPr="00651D8E">
        <w:rPr>
          <w:rFonts w:asciiTheme="majorBidi" w:hAnsiTheme="majorBidi" w:cstheme="majorBidi"/>
          <w:b/>
          <w:bCs/>
          <w:color w:val="0000FF"/>
          <w:sz w:val="24"/>
        </w:rPr>
        <w:t>.2. L’eau</w:t>
      </w:r>
      <w:bookmarkEnd w:id="135"/>
      <w:bookmarkEnd w:id="136"/>
      <w:bookmarkEnd w:id="137"/>
      <w:bookmarkEnd w:id="138"/>
      <w:bookmarkEnd w:id="139"/>
      <w:bookmarkEnd w:id="140"/>
    </w:p>
    <w:p w:rsidR="008F715D" w:rsidRPr="00651D8E" w:rsidRDefault="008F715D" w:rsidP="008F715D">
      <w:pPr>
        <w:jc w:val="both"/>
        <w:rPr>
          <w:rFonts w:asciiTheme="majorBidi" w:hAnsiTheme="majorBidi" w:cstheme="majorBidi"/>
        </w:rPr>
      </w:pPr>
    </w:p>
    <w:p w:rsidR="008F715D" w:rsidRPr="009B59B6" w:rsidRDefault="008F715D" w:rsidP="008F715D">
      <w:pPr>
        <w:ind w:right="26"/>
        <w:jc w:val="both"/>
        <w:rPr>
          <w:rFonts w:asciiTheme="majorBidi" w:hAnsiTheme="majorBidi" w:cstheme="majorBidi"/>
          <w:iCs/>
        </w:rPr>
      </w:pPr>
      <w:r w:rsidRPr="004B14A6">
        <w:rPr>
          <w:rFonts w:asciiTheme="majorBidi" w:hAnsiTheme="majorBidi" w:cstheme="majorBidi"/>
        </w:rPr>
        <w:t xml:space="preserve">La production de l’eau potable a progressé de 5,4% au 30 juin 2016, en raison des travaux réalisés sur des nouveaux forages et du renforcement des réseaux de distribution. De même,  comparativement au premier semestre 2015, les ventes hors cession et le chiffre d’affaires </w:t>
      </w:r>
      <w:r w:rsidRPr="009B59B6">
        <w:rPr>
          <w:rFonts w:asciiTheme="majorBidi" w:hAnsiTheme="majorBidi" w:cstheme="majorBidi"/>
        </w:rPr>
        <w:t xml:space="preserve">générés ont respectivement diminué de 8,5% et 6,8%, </w:t>
      </w:r>
      <w:r w:rsidRPr="009B59B6">
        <w:rPr>
          <w:rFonts w:asciiTheme="majorBidi" w:hAnsiTheme="majorBidi" w:cstheme="majorBidi"/>
          <w:iCs/>
        </w:rPr>
        <w:t>induite par de nombreuses fuites liées à la forte pression de l’eau dans les réseaux.</w:t>
      </w:r>
    </w:p>
    <w:p w:rsidR="008F715D" w:rsidRPr="00CB1F5B" w:rsidRDefault="008F715D" w:rsidP="008F715D">
      <w:pPr>
        <w:jc w:val="both"/>
        <w:rPr>
          <w:rFonts w:asciiTheme="majorBidi" w:hAnsiTheme="majorBidi" w:cstheme="majorBidi"/>
          <w:bCs/>
        </w:rPr>
      </w:pPr>
    </w:p>
    <w:p w:rsidR="008F715D" w:rsidRDefault="008F715D" w:rsidP="008F715D">
      <w:pPr>
        <w:jc w:val="both"/>
        <w:rPr>
          <w:rFonts w:asciiTheme="majorBidi" w:hAnsiTheme="majorBidi" w:cstheme="majorBidi"/>
          <w:b/>
          <w:i/>
        </w:rPr>
      </w:pPr>
      <w:r w:rsidRPr="00CB1F5B">
        <w:rPr>
          <w:rFonts w:asciiTheme="majorBidi" w:hAnsiTheme="majorBidi" w:cstheme="majorBidi"/>
          <w:b/>
          <w:i/>
        </w:rPr>
        <w:t>Evolution de l'activité de la branche eau</w:t>
      </w:r>
    </w:p>
    <w:tbl>
      <w:tblPr>
        <w:tblW w:w="9087" w:type="dxa"/>
        <w:tblInd w:w="55" w:type="dxa"/>
        <w:tblLayout w:type="fixed"/>
        <w:tblCellMar>
          <w:left w:w="70" w:type="dxa"/>
          <w:right w:w="70" w:type="dxa"/>
        </w:tblCellMar>
        <w:tblLook w:val="04A0"/>
      </w:tblPr>
      <w:tblGrid>
        <w:gridCol w:w="4840"/>
        <w:gridCol w:w="1415"/>
        <w:gridCol w:w="1416"/>
        <w:gridCol w:w="1416"/>
      </w:tblGrid>
      <w:tr w:rsidR="008F715D" w:rsidRPr="00DC702E"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(en milliers de m3)</w:t>
            </w:r>
          </w:p>
        </w:tc>
        <w:tc>
          <w:tcPr>
            <w:tcW w:w="4247"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Premier semestre</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 </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2015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000000"/>
              </w:rPr>
            </w:pPr>
            <w:r w:rsidRPr="00DC702E">
              <w:rPr>
                <w:color w:val="000000"/>
                <w:sz w:val="22"/>
                <w:szCs w:val="22"/>
              </w:rPr>
              <w:t>2016</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Var 16/15</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Production nette</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54 998,9</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57 960,0</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5,4%</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Ventes hors cession</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38 383,5</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35 140,0</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FF0000"/>
              </w:rPr>
            </w:pPr>
            <w:r w:rsidRPr="00DC702E">
              <w:rPr>
                <w:color w:val="FF0000"/>
                <w:sz w:val="22"/>
                <w:szCs w:val="22"/>
              </w:rPr>
              <w:t>-8,5%</w:t>
            </w:r>
          </w:p>
        </w:tc>
      </w:tr>
      <w:tr w:rsidR="008F715D" w:rsidRPr="00DC702E"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C702E" w:rsidRDefault="008F715D" w:rsidP="002105A0">
            <w:pPr>
              <w:rPr>
                <w:color w:val="000000"/>
              </w:rPr>
            </w:pPr>
            <w:r w:rsidRPr="00DC702E">
              <w:rPr>
                <w:color w:val="000000"/>
                <w:sz w:val="22"/>
                <w:szCs w:val="22"/>
              </w:rPr>
              <w:t>CA hors cession (en millions de FCFA)</w:t>
            </w:r>
          </w:p>
        </w:tc>
        <w:tc>
          <w:tcPr>
            <w:tcW w:w="1415"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14 058,1</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pPr>
            <w:r w:rsidRPr="00DC702E">
              <w:rPr>
                <w:sz w:val="22"/>
                <w:szCs w:val="22"/>
              </w:rPr>
              <w:t>13 096,0</w:t>
            </w:r>
          </w:p>
        </w:tc>
        <w:tc>
          <w:tcPr>
            <w:tcW w:w="1416" w:type="dxa"/>
            <w:tcBorders>
              <w:top w:val="nil"/>
              <w:left w:val="nil"/>
              <w:bottom w:val="single" w:sz="12" w:space="0" w:color="0070C0"/>
              <w:right w:val="single" w:sz="12" w:space="0" w:color="0070C0"/>
            </w:tcBorders>
            <w:shd w:val="clear" w:color="auto" w:fill="auto"/>
            <w:noWrap/>
            <w:vAlign w:val="center"/>
            <w:hideMark/>
          </w:tcPr>
          <w:p w:rsidR="008F715D" w:rsidRPr="00DC702E" w:rsidRDefault="008F715D" w:rsidP="002105A0">
            <w:pPr>
              <w:jc w:val="center"/>
              <w:rPr>
                <w:color w:val="FF0000"/>
              </w:rPr>
            </w:pPr>
            <w:r w:rsidRPr="00DC702E">
              <w:rPr>
                <w:color w:val="FF0000"/>
                <w:sz w:val="22"/>
                <w:szCs w:val="22"/>
              </w:rPr>
              <w:t>-6,8%</w:t>
            </w:r>
          </w:p>
        </w:tc>
      </w:tr>
    </w:tbl>
    <w:p w:rsidR="008F715D" w:rsidRPr="00651D8E" w:rsidRDefault="008F715D" w:rsidP="008F715D">
      <w:pPr>
        <w:rPr>
          <w:rFonts w:asciiTheme="majorBidi" w:hAnsiTheme="majorBidi" w:cstheme="majorBidi"/>
          <w:sz w:val="16"/>
          <w:szCs w:val="16"/>
        </w:rPr>
      </w:pPr>
      <w:r w:rsidRPr="00651D8E">
        <w:rPr>
          <w:rFonts w:asciiTheme="majorBidi" w:hAnsiTheme="majorBidi" w:cstheme="majorBidi"/>
          <w:b/>
          <w:i/>
          <w:sz w:val="16"/>
          <w:szCs w:val="16"/>
        </w:rPr>
        <w:t>Source: SEEG</w:t>
      </w:r>
    </w:p>
    <w:p w:rsidR="008F715D" w:rsidRPr="00651D8E" w:rsidRDefault="008F715D" w:rsidP="008F715D"/>
    <w:p w:rsidR="008F715D" w:rsidRPr="00651D8E" w:rsidRDefault="008F715D" w:rsidP="008F715D">
      <w:pPr>
        <w:pStyle w:val="Titre2"/>
        <w:rPr>
          <w:rFonts w:asciiTheme="majorBidi" w:hAnsiTheme="majorBidi" w:cstheme="majorBidi"/>
          <w:b/>
          <w:bCs/>
          <w:i w:val="0"/>
          <w:color w:val="0000FF"/>
          <w:sz w:val="24"/>
        </w:rPr>
      </w:pPr>
      <w:bookmarkStart w:id="141" w:name="_Toc420027530"/>
      <w:bookmarkStart w:id="142" w:name="_Toc462990832"/>
      <w:r>
        <w:rPr>
          <w:rFonts w:asciiTheme="majorBidi" w:hAnsiTheme="majorBidi" w:cstheme="majorBidi"/>
          <w:b/>
          <w:bCs/>
          <w:i w:val="0"/>
          <w:color w:val="0000FF"/>
          <w:sz w:val="24"/>
        </w:rPr>
        <w:t>I</w:t>
      </w:r>
      <w:r w:rsidRPr="00651D8E">
        <w:rPr>
          <w:rFonts w:asciiTheme="majorBidi" w:hAnsiTheme="majorBidi" w:cstheme="majorBidi"/>
          <w:b/>
          <w:bCs/>
          <w:i w:val="0"/>
          <w:color w:val="0000FF"/>
          <w:sz w:val="24"/>
        </w:rPr>
        <w:t>I.</w:t>
      </w:r>
      <w:r>
        <w:rPr>
          <w:rFonts w:asciiTheme="majorBidi" w:hAnsiTheme="majorBidi" w:cstheme="majorBidi"/>
          <w:b/>
          <w:bCs/>
          <w:i w:val="0"/>
          <w:color w:val="0000FF"/>
          <w:sz w:val="24"/>
        </w:rPr>
        <w:t>12</w:t>
      </w:r>
      <w:r w:rsidRPr="00651D8E">
        <w:rPr>
          <w:rFonts w:asciiTheme="majorBidi" w:hAnsiTheme="majorBidi" w:cstheme="majorBidi"/>
          <w:b/>
          <w:bCs/>
          <w:i w:val="0"/>
          <w:color w:val="0000FF"/>
          <w:sz w:val="24"/>
        </w:rPr>
        <w:t>.</w:t>
      </w:r>
      <w:bookmarkStart w:id="143" w:name="_Toc397691615"/>
      <w:bookmarkEnd w:id="73"/>
      <w:bookmarkEnd w:id="74"/>
      <w:bookmarkEnd w:id="126"/>
      <w:bookmarkEnd w:id="127"/>
      <w:bookmarkEnd w:id="128"/>
      <w:r>
        <w:rPr>
          <w:rFonts w:asciiTheme="majorBidi" w:hAnsiTheme="majorBidi" w:cstheme="majorBidi"/>
          <w:b/>
          <w:bCs/>
          <w:i w:val="0"/>
          <w:color w:val="0000FF"/>
          <w:sz w:val="24"/>
        </w:rPr>
        <w:t xml:space="preserve"> </w:t>
      </w:r>
      <w:r w:rsidRPr="00651D8E">
        <w:rPr>
          <w:rFonts w:asciiTheme="majorBidi" w:hAnsiTheme="majorBidi" w:cstheme="majorBidi"/>
          <w:b/>
          <w:bCs/>
          <w:i w:val="0"/>
          <w:color w:val="0000FF"/>
          <w:sz w:val="24"/>
        </w:rPr>
        <w:t>LE BATIMENT ET LES TRAVAUX PUBLICS</w:t>
      </w:r>
      <w:bookmarkEnd w:id="141"/>
      <w:bookmarkEnd w:id="142"/>
      <w:bookmarkEnd w:id="143"/>
    </w:p>
    <w:p w:rsidR="008F715D" w:rsidRPr="00651D8E" w:rsidRDefault="008F715D" w:rsidP="008F715D">
      <w:pPr>
        <w:jc w:val="both"/>
        <w:rPr>
          <w:rFonts w:asciiTheme="majorBidi" w:hAnsiTheme="majorBidi" w:cstheme="majorBidi"/>
        </w:rPr>
      </w:pPr>
    </w:p>
    <w:p w:rsidR="008F715D" w:rsidRPr="00F95198" w:rsidRDefault="008F715D" w:rsidP="008F715D">
      <w:pPr>
        <w:jc w:val="both"/>
        <w:rPr>
          <w:rFonts w:asciiTheme="majorBidi" w:hAnsiTheme="majorBidi" w:cstheme="majorBidi"/>
        </w:rPr>
      </w:pPr>
      <w:r w:rsidRPr="004B14A6">
        <w:rPr>
          <w:rFonts w:asciiTheme="majorBidi" w:hAnsiTheme="majorBidi" w:cstheme="majorBidi"/>
        </w:rPr>
        <w:lastRenderedPageBreak/>
        <w:t>Le secteur BTP a enregistré une nouvelle contre-performance au terme du premier semestre</w:t>
      </w:r>
      <w:r w:rsidRPr="00F95198">
        <w:rPr>
          <w:rFonts w:asciiTheme="majorBidi" w:hAnsiTheme="majorBidi" w:cstheme="majorBidi"/>
        </w:rPr>
        <w:t xml:space="preserve"> de l’année 2016.</w:t>
      </w:r>
      <w:r>
        <w:rPr>
          <w:rFonts w:asciiTheme="majorBidi" w:hAnsiTheme="majorBidi" w:cstheme="majorBidi"/>
        </w:rPr>
        <w:t xml:space="preserve"> En effet, </w:t>
      </w:r>
      <w:r w:rsidRPr="00F95198">
        <w:rPr>
          <w:rFonts w:asciiTheme="majorBidi" w:hAnsiTheme="majorBidi" w:cstheme="majorBidi"/>
        </w:rPr>
        <w:t xml:space="preserve">la production </w:t>
      </w:r>
      <w:r>
        <w:rPr>
          <w:rFonts w:asciiTheme="majorBidi" w:hAnsiTheme="majorBidi" w:cstheme="majorBidi"/>
        </w:rPr>
        <w:t xml:space="preserve">consolidée a fléchi de 12,6% pour un montant de 111 milliards de FCFA à </w:t>
      </w:r>
      <w:r w:rsidRPr="00F95198">
        <w:rPr>
          <w:rFonts w:asciiTheme="majorBidi" w:hAnsiTheme="majorBidi" w:cstheme="majorBidi"/>
        </w:rPr>
        <w:t>fin juin 2016</w:t>
      </w:r>
      <w:r>
        <w:rPr>
          <w:rFonts w:asciiTheme="majorBidi" w:hAnsiTheme="majorBidi" w:cstheme="majorBidi"/>
        </w:rPr>
        <w:t xml:space="preserve">, </w:t>
      </w:r>
      <w:r w:rsidRPr="00D26B10">
        <w:rPr>
          <w:rFonts w:asciiTheme="majorBidi" w:hAnsiTheme="majorBidi" w:cstheme="majorBidi"/>
        </w:rPr>
        <w:t>en raison du ralentissement de la plupart des chantiers en cours de réalisation, ainsi que de l’absence de nouveaux chantiers d’envergure</w:t>
      </w:r>
      <w:r>
        <w:rPr>
          <w:rFonts w:asciiTheme="majorBidi" w:hAnsiTheme="majorBidi" w:cstheme="majorBidi"/>
        </w:rPr>
        <w:t xml:space="preserve"> dans les deux segments que compte le secteur des BTP.</w:t>
      </w:r>
    </w:p>
    <w:p w:rsidR="008F715D" w:rsidRPr="00F95198" w:rsidRDefault="008F715D" w:rsidP="008F715D">
      <w:pPr>
        <w:jc w:val="both"/>
        <w:rPr>
          <w:rFonts w:asciiTheme="majorBidi" w:hAnsiTheme="majorBidi" w:cstheme="majorBidi"/>
        </w:rPr>
      </w:pPr>
    </w:p>
    <w:p w:rsidR="008F715D" w:rsidRDefault="008F715D" w:rsidP="008F715D">
      <w:pPr>
        <w:rPr>
          <w:b/>
          <w:i/>
        </w:rPr>
      </w:pPr>
      <w:r w:rsidRPr="00C83B5D">
        <w:rPr>
          <w:b/>
          <w:i/>
        </w:rPr>
        <w:t>Evoluti</w:t>
      </w:r>
      <w:r>
        <w:rPr>
          <w:b/>
          <w:i/>
        </w:rPr>
        <w:t>on des activités du secteur BTP</w:t>
      </w:r>
    </w:p>
    <w:tbl>
      <w:tblPr>
        <w:tblW w:w="8946" w:type="dxa"/>
        <w:tblInd w:w="55" w:type="dxa"/>
        <w:tblLayout w:type="fixed"/>
        <w:tblCellMar>
          <w:left w:w="70" w:type="dxa"/>
          <w:right w:w="70" w:type="dxa"/>
        </w:tblCellMar>
        <w:tblLook w:val="04A0"/>
      </w:tblPr>
      <w:tblGrid>
        <w:gridCol w:w="4840"/>
        <w:gridCol w:w="1368"/>
        <w:gridCol w:w="1369"/>
        <w:gridCol w:w="1369"/>
      </w:tblGrid>
      <w:tr w:rsidR="008F715D" w:rsidRPr="00F95198" w:rsidTr="002105A0">
        <w:trPr>
          <w:trHeight w:val="267"/>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F95198" w:rsidRDefault="008F715D" w:rsidP="002105A0">
            <w:pPr>
              <w:rPr>
                <w:color w:val="333333"/>
              </w:rPr>
            </w:pPr>
            <w:r w:rsidRPr="00F95198">
              <w:rPr>
                <w:color w:val="333333"/>
                <w:szCs w:val="22"/>
              </w:rPr>
              <w:t xml:space="preserve">  </w:t>
            </w:r>
          </w:p>
        </w:tc>
        <w:tc>
          <w:tcPr>
            <w:tcW w:w="4106"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rPr>
                <w:color w:val="000000"/>
              </w:rPr>
            </w:pPr>
            <w:r w:rsidRPr="00F95198">
              <w:rPr>
                <w:color w:val="000000"/>
                <w:szCs w:val="22"/>
              </w:rPr>
              <w:t>Premier semestre</w:t>
            </w:r>
          </w:p>
        </w:tc>
      </w:tr>
      <w:tr w:rsidR="008F715D" w:rsidRPr="00F95198" w:rsidTr="002105A0">
        <w:trPr>
          <w:trHeight w:val="243"/>
        </w:trPr>
        <w:tc>
          <w:tcPr>
            <w:tcW w:w="4840" w:type="dxa"/>
            <w:tcBorders>
              <w:top w:val="nil"/>
              <w:left w:val="single" w:sz="12" w:space="0" w:color="0070C0"/>
              <w:bottom w:val="nil"/>
              <w:right w:val="single" w:sz="12" w:space="0" w:color="0070C0"/>
            </w:tcBorders>
            <w:shd w:val="clear" w:color="auto" w:fill="auto"/>
            <w:noWrap/>
            <w:vAlign w:val="center"/>
            <w:hideMark/>
          </w:tcPr>
          <w:p w:rsidR="008F715D" w:rsidRPr="00F95198" w:rsidRDefault="008F715D" w:rsidP="002105A0">
            <w:pPr>
              <w:rPr>
                <w:color w:val="333333"/>
              </w:rPr>
            </w:pPr>
            <w:r w:rsidRPr="00F95198">
              <w:rPr>
                <w:color w:val="333333"/>
                <w:szCs w:val="22"/>
              </w:rPr>
              <w:t>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rPr>
                <w:color w:val="000000"/>
              </w:rPr>
            </w:pPr>
            <w:r w:rsidRPr="00F95198">
              <w:rPr>
                <w:color w:val="000000"/>
                <w:szCs w:val="22"/>
              </w:rPr>
              <w:t>2015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rPr>
                <w:color w:val="000000"/>
              </w:rPr>
            </w:pPr>
            <w:r w:rsidRPr="00F95198">
              <w:rPr>
                <w:color w:val="000000"/>
                <w:szCs w:val="22"/>
              </w:rPr>
              <w:t>2016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pPr>
            <w:r w:rsidRPr="00F95198">
              <w:rPr>
                <w:szCs w:val="22"/>
              </w:rPr>
              <w:t>Var 16/15</w:t>
            </w:r>
          </w:p>
        </w:tc>
      </w:tr>
      <w:tr w:rsidR="008F715D" w:rsidRPr="00F95198" w:rsidTr="002105A0">
        <w:trPr>
          <w:trHeight w:val="345"/>
        </w:trPr>
        <w:tc>
          <w:tcPr>
            <w:tcW w:w="4840" w:type="dxa"/>
            <w:tcBorders>
              <w:top w:val="single" w:sz="12" w:space="0" w:color="0070C0"/>
              <w:left w:val="single" w:sz="12" w:space="0" w:color="0070C0"/>
              <w:bottom w:val="single" w:sz="12" w:space="0" w:color="0070C0"/>
              <w:right w:val="single" w:sz="12" w:space="0" w:color="0070C0"/>
            </w:tcBorders>
            <w:shd w:val="clear" w:color="auto" w:fill="auto"/>
            <w:noWrap/>
            <w:vAlign w:val="center"/>
            <w:hideMark/>
          </w:tcPr>
          <w:p w:rsidR="008F715D" w:rsidRPr="00F95198" w:rsidRDefault="008F715D" w:rsidP="002105A0">
            <w:pPr>
              <w:rPr>
                <w:color w:val="000000"/>
              </w:rPr>
            </w:pPr>
            <w:r w:rsidRPr="00F95198">
              <w:rPr>
                <w:color w:val="000000"/>
                <w:szCs w:val="22"/>
              </w:rPr>
              <w:t>Production (en millions de FCFA), dont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pPr>
            <w:r w:rsidRPr="00F95198">
              <w:rPr>
                <w:szCs w:val="22"/>
              </w:rPr>
              <w:t>126 999</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pPr>
            <w:r w:rsidRPr="00F95198">
              <w:rPr>
                <w:szCs w:val="22"/>
              </w:rPr>
              <w:t>111 028</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rPr>
                <w:color w:val="FF0000"/>
              </w:rPr>
            </w:pPr>
            <w:r w:rsidRPr="00F95198">
              <w:rPr>
                <w:color w:val="FF0000"/>
                <w:szCs w:val="22"/>
              </w:rPr>
              <w:t>-12,6%</w:t>
            </w:r>
          </w:p>
        </w:tc>
      </w:tr>
      <w:tr w:rsidR="008F715D" w:rsidRPr="00F9519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F95198" w:rsidRDefault="008F715D" w:rsidP="002105A0">
            <w:pPr>
              <w:rPr>
                <w:color w:val="000000"/>
              </w:rPr>
            </w:pPr>
            <w:r w:rsidRPr="00F95198">
              <w:rPr>
                <w:color w:val="000000"/>
                <w:szCs w:val="22"/>
              </w:rPr>
              <w:t xml:space="preserve">      Bâtiment et Génie civil</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pPr>
            <w:r w:rsidRPr="00F95198">
              <w:rPr>
                <w:szCs w:val="22"/>
              </w:rPr>
              <w:t>110 440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pPr>
            <w:r w:rsidRPr="00F95198">
              <w:rPr>
                <w:szCs w:val="22"/>
              </w:rPr>
              <w:t>99 000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rPr>
                <w:color w:val="FF0000"/>
              </w:rPr>
            </w:pPr>
            <w:r w:rsidRPr="00F95198">
              <w:rPr>
                <w:color w:val="FF0000"/>
                <w:szCs w:val="22"/>
              </w:rPr>
              <w:t>-10,4%</w:t>
            </w:r>
          </w:p>
        </w:tc>
      </w:tr>
      <w:tr w:rsidR="008F715D" w:rsidRPr="00F9519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F95198" w:rsidRDefault="008F715D" w:rsidP="002105A0">
            <w:pPr>
              <w:rPr>
                <w:color w:val="000000"/>
              </w:rPr>
            </w:pPr>
            <w:r w:rsidRPr="00F95198">
              <w:rPr>
                <w:color w:val="000000"/>
                <w:szCs w:val="22"/>
              </w:rPr>
              <w:t xml:space="preserve">      Lignes d’eau, d’électricité, de téléphone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pPr>
            <w:r w:rsidRPr="00F95198">
              <w:rPr>
                <w:szCs w:val="22"/>
              </w:rPr>
              <w:t>16 558</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pPr>
            <w:r w:rsidRPr="00F95198">
              <w:rPr>
                <w:szCs w:val="22"/>
              </w:rPr>
              <w:t>12 028</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rPr>
                <w:color w:val="FF0000"/>
              </w:rPr>
            </w:pPr>
            <w:r w:rsidRPr="00F95198">
              <w:rPr>
                <w:color w:val="FF0000"/>
                <w:szCs w:val="22"/>
              </w:rPr>
              <w:t>-27,4%</w:t>
            </w:r>
          </w:p>
        </w:tc>
      </w:tr>
      <w:tr w:rsidR="008F715D" w:rsidRPr="00F9519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F95198" w:rsidRDefault="008F715D" w:rsidP="002105A0">
            <w:pPr>
              <w:rPr>
                <w:color w:val="000000"/>
              </w:rPr>
            </w:pPr>
            <w:r w:rsidRPr="00F95198">
              <w:rPr>
                <w:color w:val="000000"/>
                <w:szCs w:val="22"/>
              </w:rPr>
              <w:t>Masse salariale (en millions de FCFA)</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pPr>
            <w:r w:rsidRPr="00F95198">
              <w:rPr>
                <w:szCs w:val="22"/>
              </w:rPr>
              <w:t>19 297</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pPr>
            <w:r w:rsidRPr="00F95198">
              <w:rPr>
                <w:szCs w:val="22"/>
              </w:rPr>
              <w:t>17 752</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rPr>
                <w:color w:val="FF0000"/>
              </w:rPr>
            </w:pPr>
            <w:r w:rsidRPr="00F95198">
              <w:rPr>
                <w:color w:val="FF0000"/>
                <w:szCs w:val="22"/>
              </w:rPr>
              <w:t>-8,0%</w:t>
            </w:r>
          </w:p>
        </w:tc>
      </w:tr>
      <w:tr w:rsidR="008F715D" w:rsidRPr="00F9519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F95198" w:rsidRDefault="008F715D" w:rsidP="002105A0">
            <w:pPr>
              <w:rPr>
                <w:color w:val="000000"/>
              </w:rPr>
            </w:pPr>
            <w:r w:rsidRPr="00F95198">
              <w:rPr>
                <w:color w:val="000000"/>
                <w:szCs w:val="22"/>
              </w:rPr>
              <w:t>Effectifs (nombre d'agents)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pPr>
            <w:r w:rsidRPr="00F95198">
              <w:rPr>
                <w:szCs w:val="22"/>
              </w:rPr>
              <w:t>3 827</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pPr>
            <w:r w:rsidRPr="00F95198">
              <w:rPr>
                <w:szCs w:val="22"/>
              </w:rPr>
              <w:t>3 522</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F95198" w:rsidRDefault="008F715D" w:rsidP="002105A0">
            <w:pPr>
              <w:jc w:val="center"/>
              <w:rPr>
                <w:color w:val="FF0000"/>
              </w:rPr>
            </w:pPr>
            <w:r w:rsidRPr="00F95198">
              <w:rPr>
                <w:color w:val="FF0000"/>
                <w:szCs w:val="22"/>
              </w:rPr>
              <w:t>-8,0%</w:t>
            </w:r>
          </w:p>
        </w:tc>
      </w:tr>
    </w:tbl>
    <w:p w:rsidR="008F715D" w:rsidRPr="00244224" w:rsidRDefault="008F715D" w:rsidP="008F715D">
      <w:pPr>
        <w:jc w:val="both"/>
        <w:rPr>
          <w:rFonts w:asciiTheme="majorBidi" w:hAnsiTheme="majorBidi" w:cstheme="majorBidi"/>
          <w:b/>
          <w:i/>
          <w:iCs/>
          <w:sz w:val="20"/>
          <w:szCs w:val="20"/>
          <w:lang w:val="es-ES"/>
        </w:rPr>
      </w:pPr>
      <w:r w:rsidRPr="00244224">
        <w:rPr>
          <w:rFonts w:asciiTheme="majorBidi" w:hAnsiTheme="majorBidi" w:cstheme="majorBidi"/>
          <w:b/>
          <w:i/>
          <w:iCs/>
          <w:sz w:val="20"/>
          <w:szCs w:val="20"/>
          <w:lang w:val="es-ES"/>
        </w:rPr>
        <w:t>Sources: Socoba Edtpl, Colas, Acciona, Crbc, Sogafric, Seteg, ETE, Bouygues, Sogacer, Sericom, Corail, CGPR et Mika Services.</w:t>
      </w:r>
    </w:p>
    <w:p w:rsidR="008F715D" w:rsidRPr="000550D5" w:rsidRDefault="008F715D" w:rsidP="008F715D">
      <w:pPr>
        <w:jc w:val="both"/>
        <w:rPr>
          <w:rFonts w:asciiTheme="majorBidi" w:hAnsiTheme="majorBidi" w:cstheme="majorBidi"/>
          <w:lang w:val="es-ES"/>
        </w:rPr>
      </w:pPr>
    </w:p>
    <w:p w:rsidR="008F715D" w:rsidRPr="00572BEE" w:rsidRDefault="008F715D" w:rsidP="008F715D">
      <w:pPr>
        <w:jc w:val="both"/>
        <w:rPr>
          <w:rFonts w:asciiTheme="majorBidi" w:hAnsiTheme="majorBidi" w:cstheme="majorBidi"/>
        </w:rPr>
      </w:pPr>
      <w:r w:rsidRPr="004B14A6">
        <w:rPr>
          <w:rFonts w:asciiTheme="majorBidi" w:hAnsiTheme="majorBidi" w:cstheme="majorBidi"/>
        </w:rPr>
        <w:t>Compte tenu de la morosité de l’activité, certaines entreprises du secteur ont procédé aux</w:t>
      </w:r>
      <w:r w:rsidRPr="00572BEE">
        <w:rPr>
          <w:rFonts w:asciiTheme="majorBidi" w:hAnsiTheme="majorBidi" w:cstheme="majorBidi"/>
        </w:rPr>
        <w:t xml:space="preserve"> licenciement</w:t>
      </w:r>
      <w:r>
        <w:rPr>
          <w:rFonts w:asciiTheme="majorBidi" w:hAnsiTheme="majorBidi" w:cstheme="majorBidi"/>
        </w:rPr>
        <w:t>s</w:t>
      </w:r>
      <w:r w:rsidRPr="00572BEE">
        <w:rPr>
          <w:rFonts w:asciiTheme="majorBidi" w:hAnsiTheme="majorBidi" w:cstheme="majorBidi"/>
        </w:rPr>
        <w:t xml:space="preserve"> </w:t>
      </w:r>
      <w:r>
        <w:rPr>
          <w:rFonts w:asciiTheme="majorBidi" w:hAnsiTheme="majorBidi" w:cstheme="majorBidi"/>
        </w:rPr>
        <w:t>économiques ou à la mise en congés techniques</w:t>
      </w:r>
      <w:r w:rsidRPr="00572BEE">
        <w:rPr>
          <w:rFonts w:asciiTheme="majorBidi" w:hAnsiTheme="majorBidi" w:cstheme="majorBidi"/>
        </w:rPr>
        <w:t>, induisant une réduction de 8% des effectifs totaux à 3 522 agents représentant une masse salariale de 17,8 milliards de FCFA.</w:t>
      </w:r>
    </w:p>
    <w:p w:rsidR="008F715D" w:rsidRPr="00651D8E" w:rsidRDefault="008F715D" w:rsidP="008F715D">
      <w:pPr>
        <w:jc w:val="both"/>
        <w:rPr>
          <w:rFonts w:asciiTheme="majorBidi" w:hAnsiTheme="majorBidi" w:cstheme="majorBidi"/>
        </w:rPr>
      </w:pPr>
    </w:p>
    <w:p w:rsidR="008F715D" w:rsidRPr="00651D8E" w:rsidRDefault="008F715D" w:rsidP="008F715D">
      <w:pPr>
        <w:pStyle w:val="Titre2"/>
        <w:rPr>
          <w:rFonts w:asciiTheme="majorBidi" w:hAnsiTheme="majorBidi" w:cstheme="majorBidi"/>
          <w:b/>
          <w:bCs/>
          <w:i w:val="0"/>
          <w:color w:val="0000FF"/>
          <w:sz w:val="24"/>
        </w:rPr>
      </w:pPr>
      <w:bookmarkStart w:id="144" w:name="_Toc63511803"/>
      <w:bookmarkStart w:id="145" w:name="_Toc77665759"/>
      <w:bookmarkStart w:id="146" w:name="_Toc356891324"/>
      <w:bookmarkStart w:id="147" w:name="_Toc389653148"/>
      <w:bookmarkStart w:id="148" w:name="_Toc389653376"/>
      <w:bookmarkStart w:id="149" w:name="_Toc420027531"/>
      <w:bookmarkStart w:id="150" w:name="_Toc462990833"/>
      <w:r>
        <w:rPr>
          <w:rFonts w:asciiTheme="majorBidi" w:hAnsiTheme="majorBidi" w:cstheme="majorBidi"/>
          <w:b/>
          <w:bCs/>
          <w:i w:val="0"/>
          <w:color w:val="0000FF"/>
          <w:sz w:val="24"/>
        </w:rPr>
        <w:t>I</w:t>
      </w:r>
      <w:r w:rsidRPr="00651D8E">
        <w:rPr>
          <w:rFonts w:asciiTheme="majorBidi" w:hAnsiTheme="majorBidi" w:cstheme="majorBidi"/>
          <w:b/>
          <w:bCs/>
          <w:i w:val="0"/>
          <w:color w:val="0000FF"/>
          <w:sz w:val="24"/>
        </w:rPr>
        <w:t>I.1</w:t>
      </w:r>
      <w:r>
        <w:rPr>
          <w:rFonts w:asciiTheme="majorBidi" w:hAnsiTheme="majorBidi" w:cstheme="majorBidi"/>
          <w:b/>
          <w:bCs/>
          <w:i w:val="0"/>
          <w:color w:val="0000FF"/>
          <w:sz w:val="24"/>
        </w:rPr>
        <w:t>3</w:t>
      </w:r>
      <w:r w:rsidRPr="00651D8E">
        <w:rPr>
          <w:rFonts w:asciiTheme="majorBidi" w:hAnsiTheme="majorBidi" w:cstheme="majorBidi"/>
          <w:b/>
          <w:bCs/>
          <w:i w:val="0"/>
          <w:color w:val="0000FF"/>
          <w:sz w:val="24"/>
        </w:rPr>
        <w:t>.</w:t>
      </w:r>
      <w:r>
        <w:rPr>
          <w:rFonts w:asciiTheme="majorBidi" w:hAnsiTheme="majorBidi" w:cstheme="majorBidi"/>
          <w:b/>
          <w:bCs/>
          <w:i w:val="0"/>
          <w:color w:val="0000FF"/>
          <w:sz w:val="24"/>
        </w:rPr>
        <w:t xml:space="preserve"> </w:t>
      </w:r>
      <w:r w:rsidRPr="00651D8E">
        <w:rPr>
          <w:rFonts w:asciiTheme="majorBidi" w:hAnsiTheme="majorBidi" w:cstheme="majorBidi"/>
          <w:b/>
          <w:bCs/>
          <w:i w:val="0"/>
          <w:color w:val="0000FF"/>
          <w:sz w:val="24"/>
        </w:rPr>
        <w:t>LE TRANSPORT ET LES AUXILIAIRES DE TRANSPORT</w:t>
      </w:r>
      <w:bookmarkEnd w:id="144"/>
      <w:bookmarkEnd w:id="145"/>
      <w:bookmarkEnd w:id="146"/>
      <w:bookmarkEnd w:id="147"/>
      <w:bookmarkEnd w:id="148"/>
      <w:bookmarkEnd w:id="149"/>
      <w:bookmarkEnd w:id="150"/>
    </w:p>
    <w:p w:rsidR="008F715D" w:rsidRPr="00651D8E" w:rsidRDefault="008F715D" w:rsidP="008F715D"/>
    <w:p w:rsidR="008F715D" w:rsidRPr="00125AFA" w:rsidRDefault="008F715D" w:rsidP="008F715D">
      <w:pPr>
        <w:pStyle w:val="Titre3"/>
        <w:ind w:firstLine="0"/>
        <w:rPr>
          <w:rFonts w:asciiTheme="majorBidi" w:hAnsiTheme="majorBidi" w:cstheme="majorBidi"/>
          <w:b/>
          <w:bCs/>
          <w:i/>
          <w:iCs/>
          <w:color w:val="0000FF"/>
          <w:sz w:val="24"/>
        </w:rPr>
      </w:pPr>
      <w:bookmarkStart w:id="151" w:name="_Toc63511804"/>
      <w:bookmarkStart w:id="152" w:name="_Toc77665760"/>
      <w:bookmarkStart w:id="153" w:name="_Toc356891326"/>
      <w:bookmarkStart w:id="154" w:name="_Toc389653150"/>
      <w:bookmarkStart w:id="155" w:name="_Toc389653378"/>
      <w:bookmarkStart w:id="156" w:name="_Toc397691618"/>
      <w:bookmarkStart w:id="157" w:name="_Toc420027532"/>
      <w:bookmarkStart w:id="158" w:name="_Toc462990834"/>
      <w:r w:rsidRPr="00125AFA">
        <w:rPr>
          <w:rFonts w:asciiTheme="majorBidi" w:hAnsiTheme="majorBidi" w:cstheme="majorBidi"/>
          <w:b/>
          <w:bCs/>
          <w:i/>
          <w:iCs/>
          <w:color w:val="0000FF"/>
          <w:sz w:val="24"/>
        </w:rPr>
        <w:t>I</w:t>
      </w:r>
      <w:r>
        <w:rPr>
          <w:rFonts w:asciiTheme="majorBidi" w:hAnsiTheme="majorBidi" w:cstheme="majorBidi"/>
          <w:b/>
          <w:bCs/>
          <w:i/>
          <w:iCs/>
          <w:color w:val="0000FF"/>
          <w:sz w:val="24"/>
        </w:rPr>
        <w:t>I</w:t>
      </w:r>
      <w:r w:rsidRPr="00125AFA">
        <w:rPr>
          <w:rFonts w:asciiTheme="majorBidi" w:hAnsiTheme="majorBidi" w:cstheme="majorBidi"/>
          <w:b/>
          <w:bCs/>
          <w:i/>
          <w:iCs/>
          <w:color w:val="0000FF"/>
          <w:sz w:val="24"/>
        </w:rPr>
        <w:t>.1</w:t>
      </w:r>
      <w:r>
        <w:rPr>
          <w:rFonts w:asciiTheme="majorBidi" w:hAnsiTheme="majorBidi" w:cstheme="majorBidi"/>
          <w:b/>
          <w:bCs/>
          <w:i/>
          <w:iCs/>
          <w:color w:val="0000FF"/>
          <w:sz w:val="24"/>
        </w:rPr>
        <w:t>3</w:t>
      </w:r>
      <w:r w:rsidRPr="00125AFA">
        <w:rPr>
          <w:rFonts w:asciiTheme="majorBidi" w:hAnsiTheme="majorBidi" w:cstheme="majorBidi"/>
          <w:b/>
          <w:bCs/>
          <w:i/>
          <w:iCs/>
          <w:color w:val="0000FF"/>
          <w:sz w:val="24"/>
        </w:rPr>
        <w:t>.1. Le transport aérien</w:t>
      </w:r>
      <w:bookmarkEnd w:id="151"/>
      <w:bookmarkEnd w:id="152"/>
      <w:bookmarkEnd w:id="153"/>
      <w:bookmarkEnd w:id="154"/>
      <w:bookmarkEnd w:id="155"/>
      <w:bookmarkEnd w:id="156"/>
      <w:bookmarkEnd w:id="157"/>
      <w:bookmarkEnd w:id="158"/>
    </w:p>
    <w:p w:rsidR="008F715D" w:rsidRPr="00125AFA" w:rsidRDefault="008F715D" w:rsidP="008F715D">
      <w:pPr>
        <w:rPr>
          <w:rFonts w:asciiTheme="majorBidi" w:hAnsiTheme="majorBidi" w:cstheme="majorBidi"/>
          <w:bCs/>
        </w:rPr>
      </w:pPr>
    </w:p>
    <w:p w:rsidR="008F715D" w:rsidRPr="00B06894" w:rsidRDefault="008F715D" w:rsidP="008F715D">
      <w:pPr>
        <w:jc w:val="both"/>
        <w:rPr>
          <w:rFonts w:asciiTheme="majorBidi" w:hAnsiTheme="majorBidi" w:cstheme="majorBidi"/>
        </w:rPr>
      </w:pPr>
      <w:r w:rsidRPr="00B06894">
        <w:rPr>
          <w:rFonts w:asciiTheme="majorBidi" w:hAnsiTheme="majorBidi" w:cstheme="majorBidi"/>
        </w:rPr>
        <w:t xml:space="preserve">La branche du transport aérien s’est caractérisée par un tassement de l’activité durant le premier semestre 2016, au regard de l’évolution de ses principaux indicateurs. En effet, les mouvements commerciaux des avions ont fléchi de 8,7%, suite à la fermeture  d’une compagnie (Allegiance). </w:t>
      </w:r>
    </w:p>
    <w:p w:rsidR="008F715D" w:rsidRPr="00B06894"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rPr>
      </w:pPr>
      <w:r w:rsidRPr="00B06894">
        <w:rPr>
          <w:rFonts w:asciiTheme="majorBidi" w:hAnsiTheme="majorBidi" w:cstheme="majorBidi"/>
        </w:rPr>
        <w:t>Par conséquent, le nombre de passagers transportés s’est élevé à 422 883 personnes à fin juin 2016, soit un repli de 12,7% comparativement à la même période en 2015. Cependant, l’évolution positive du transit (22%) résulte d’une adaptation du programme d’Ethiopian et à un doublement du trafic de Turkish Airlines.</w:t>
      </w:r>
    </w:p>
    <w:p w:rsidR="008F715D" w:rsidRPr="008B582D" w:rsidRDefault="008F715D" w:rsidP="008F715D">
      <w:pPr>
        <w:jc w:val="both"/>
        <w:rPr>
          <w:rFonts w:asciiTheme="majorBidi" w:hAnsiTheme="majorBidi" w:cstheme="majorBidi"/>
        </w:rPr>
      </w:pPr>
    </w:p>
    <w:p w:rsidR="008F715D" w:rsidRPr="008B582D" w:rsidRDefault="008F715D" w:rsidP="008F715D">
      <w:pPr>
        <w:jc w:val="both"/>
        <w:rPr>
          <w:rFonts w:asciiTheme="majorBidi" w:hAnsiTheme="majorBidi" w:cstheme="majorBidi"/>
        </w:rPr>
      </w:pPr>
      <w:r w:rsidRPr="00D76CA2">
        <w:rPr>
          <w:rFonts w:asciiTheme="majorBidi" w:hAnsiTheme="majorBidi" w:cstheme="majorBidi"/>
        </w:rPr>
        <w:t xml:space="preserve">Parallèlement, le </w:t>
      </w:r>
      <w:r w:rsidRPr="008B582D">
        <w:rPr>
          <w:rFonts w:asciiTheme="majorBidi" w:hAnsiTheme="majorBidi" w:cstheme="majorBidi"/>
        </w:rPr>
        <w:t xml:space="preserve">volume de fret </w:t>
      </w:r>
      <w:r>
        <w:rPr>
          <w:rFonts w:asciiTheme="majorBidi" w:hAnsiTheme="majorBidi" w:cstheme="majorBidi"/>
        </w:rPr>
        <w:t>a reculé</w:t>
      </w:r>
      <w:r w:rsidRPr="008B582D">
        <w:rPr>
          <w:rFonts w:asciiTheme="majorBidi" w:hAnsiTheme="majorBidi" w:cstheme="majorBidi"/>
        </w:rPr>
        <w:t xml:space="preserve"> de 9,5%</w:t>
      </w:r>
      <w:r>
        <w:rPr>
          <w:rFonts w:asciiTheme="majorBidi" w:hAnsiTheme="majorBidi" w:cstheme="majorBidi"/>
        </w:rPr>
        <w:t xml:space="preserve">, passant </w:t>
      </w:r>
      <w:r w:rsidRPr="008B582D">
        <w:rPr>
          <w:rFonts w:asciiTheme="majorBidi" w:hAnsiTheme="majorBidi" w:cstheme="majorBidi"/>
        </w:rPr>
        <w:t>à 7</w:t>
      </w:r>
      <w:r>
        <w:rPr>
          <w:rFonts w:asciiTheme="majorBidi" w:hAnsiTheme="majorBidi" w:cstheme="majorBidi"/>
        </w:rPr>
        <w:t xml:space="preserve"> 101 </w:t>
      </w:r>
      <w:r w:rsidRPr="008B582D">
        <w:rPr>
          <w:rFonts w:asciiTheme="majorBidi" w:hAnsiTheme="majorBidi" w:cstheme="majorBidi"/>
        </w:rPr>
        <w:t xml:space="preserve">tonnes de marchandises transportées </w:t>
      </w:r>
      <w:r>
        <w:rPr>
          <w:rFonts w:asciiTheme="majorBidi" w:hAnsiTheme="majorBidi" w:cstheme="majorBidi"/>
        </w:rPr>
        <w:t>à fin juin</w:t>
      </w:r>
      <w:r w:rsidRPr="008B582D">
        <w:rPr>
          <w:rFonts w:asciiTheme="majorBidi" w:hAnsiTheme="majorBidi" w:cstheme="majorBidi"/>
        </w:rPr>
        <w:t xml:space="preserve"> 2016. </w:t>
      </w:r>
    </w:p>
    <w:p w:rsidR="008F715D" w:rsidRDefault="008F715D" w:rsidP="008F715D">
      <w:pPr>
        <w:jc w:val="both"/>
        <w:rPr>
          <w:rFonts w:asciiTheme="majorBidi" w:hAnsiTheme="majorBidi" w:cstheme="majorBidi"/>
          <w:b/>
          <w:bCs/>
          <w:i/>
          <w:iCs/>
        </w:rPr>
      </w:pPr>
    </w:p>
    <w:p w:rsidR="008F715D" w:rsidRDefault="008F715D" w:rsidP="008F715D">
      <w:pPr>
        <w:jc w:val="both"/>
        <w:rPr>
          <w:rFonts w:asciiTheme="majorBidi" w:hAnsiTheme="majorBidi" w:cstheme="majorBidi"/>
          <w:b/>
          <w:bCs/>
          <w:i/>
          <w:iCs/>
        </w:rPr>
      </w:pPr>
      <w:r w:rsidRPr="00CB1F5B">
        <w:rPr>
          <w:rFonts w:asciiTheme="majorBidi" w:hAnsiTheme="majorBidi" w:cstheme="majorBidi"/>
          <w:b/>
          <w:bCs/>
          <w:i/>
          <w:iCs/>
        </w:rPr>
        <w:t>Evolution de l'activité du transport aérien</w:t>
      </w:r>
    </w:p>
    <w:tbl>
      <w:tblPr>
        <w:tblW w:w="8946" w:type="dxa"/>
        <w:tblInd w:w="55" w:type="dxa"/>
        <w:tblLayout w:type="fixed"/>
        <w:tblCellMar>
          <w:left w:w="70" w:type="dxa"/>
          <w:right w:w="70" w:type="dxa"/>
        </w:tblCellMar>
        <w:tblLook w:val="04A0"/>
      </w:tblPr>
      <w:tblGrid>
        <w:gridCol w:w="4840"/>
        <w:gridCol w:w="1368"/>
        <w:gridCol w:w="1369"/>
        <w:gridCol w:w="1369"/>
      </w:tblGrid>
      <w:tr w:rsidR="008F715D" w:rsidRPr="00932C78" w:rsidTr="002105A0">
        <w:trPr>
          <w:trHeight w:val="298"/>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932C78" w:rsidRDefault="008F715D" w:rsidP="002105A0">
            <w:pPr>
              <w:rPr>
                <w:color w:val="000000"/>
              </w:rPr>
            </w:pPr>
          </w:p>
        </w:tc>
        <w:tc>
          <w:tcPr>
            <w:tcW w:w="4106"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color w:val="000000"/>
              </w:rPr>
            </w:pPr>
            <w:r w:rsidRPr="00932C78">
              <w:rPr>
                <w:color w:val="000000"/>
                <w:sz w:val="22"/>
                <w:szCs w:val="22"/>
              </w:rPr>
              <w:t>Premier semestre</w:t>
            </w:r>
          </w:p>
        </w:tc>
      </w:tr>
      <w:tr w:rsidR="008F715D" w:rsidRPr="00932C78" w:rsidTr="002105A0">
        <w:trPr>
          <w:trHeight w:val="246"/>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32C78" w:rsidRDefault="008F715D" w:rsidP="002105A0">
            <w:pPr>
              <w:rPr>
                <w:color w:val="000000"/>
              </w:rPr>
            </w:pPr>
            <w:r w:rsidRPr="00932C78">
              <w:rPr>
                <w:color w:val="000000"/>
                <w:sz w:val="22"/>
                <w:szCs w:val="22"/>
              </w:rPr>
              <w:t>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color w:val="000000"/>
              </w:rPr>
            </w:pPr>
            <w:r w:rsidRPr="00932C78">
              <w:rPr>
                <w:color w:val="000000"/>
                <w:sz w:val="22"/>
                <w:szCs w:val="22"/>
              </w:rPr>
              <w:t>2015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color w:val="000000"/>
              </w:rPr>
            </w:pPr>
            <w:r w:rsidRPr="00932C78">
              <w:rPr>
                <w:color w:val="000000"/>
                <w:sz w:val="22"/>
                <w:szCs w:val="22"/>
              </w:rPr>
              <w:t>2016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Var 16/15</w:t>
            </w:r>
          </w:p>
        </w:tc>
      </w:tr>
      <w:tr w:rsidR="008F715D" w:rsidRPr="00932C7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32C78" w:rsidRDefault="008F715D" w:rsidP="002105A0">
            <w:pPr>
              <w:rPr>
                <w:b/>
                <w:bCs/>
                <w:color w:val="000000"/>
              </w:rPr>
            </w:pPr>
            <w:r w:rsidRPr="00932C78">
              <w:rPr>
                <w:b/>
                <w:bCs/>
                <w:color w:val="000000"/>
                <w:sz w:val="22"/>
                <w:szCs w:val="22"/>
              </w:rPr>
              <w:t xml:space="preserve">Mouvements Avions Commerciaux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b/>
                <w:bCs/>
              </w:rPr>
            </w:pPr>
            <w:r w:rsidRPr="00932C78">
              <w:rPr>
                <w:b/>
                <w:bCs/>
                <w:sz w:val="22"/>
                <w:szCs w:val="22"/>
              </w:rPr>
              <w:t>11 517</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b/>
                <w:bCs/>
              </w:rPr>
            </w:pPr>
            <w:r w:rsidRPr="00932C78">
              <w:rPr>
                <w:b/>
                <w:bCs/>
                <w:sz w:val="22"/>
                <w:szCs w:val="22"/>
              </w:rPr>
              <w:t>10 518</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b/>
                <w:bCs/>
                <w:color w:val="FF0000"/>
              </w:rPr>
            </w:pPr>
            <w:r w:rsidRPr="00932C78">
              <w:rPr>
                <w:b/>
                <w:bCs/>
                <w:color w:val="FF0000"/>
                <w:sz w:val="22"/>
                <w:szCs w:val="22"/>
              </w:rPr>
              <w:t>-8,7%</w:t>
            </w:r>
          </w:p>
        </w:tc>
      </w:tr>
      <w:tr w:rsidR="008F715D" w:rsidRPr="00932C7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32C78" w:rsidRDefault="008F715D" w:rsidP="002105A0">
            <w:pPr>
              <w:rPr>
                <w:color w:val="000000"/>
              </w:rPr>
            </w:pPr>
            <w:r w:rsidRPr="00932C78">
              <w:rPr>
                <w:color w:val="000000"/>
                <w:sz w:val="22"/>
                <w:szCs w:val="22"/>
              </w:rPr>
              <w:t xml:space="preserve">   - Réseau domestique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5 800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5 002</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color w:val="FF0000"/>
              </w:rPr>
            </w:pPr>
            <w:r w:rsidRPr="00932C78">
              <w:rPr>
                <w:color w:val="FF0000"/>
                <w:sz w:val="22"/>
                <w:szCs w:val="22"/>
              </w:rPr>
              <w:t>-13,8%</w:t>
            </w:r>
          </w:p>
        </w:tc>
      </w:tr>
      <w:tr w:rsidR="008F715D" w:rsidRPr="00932C7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32C78" w:rsidRDefault="008F715D" w:rsidP="002105A0">
            <w:pPr>
              <w:rPr>
                <w:color w:val="000000"/>
              </w:rPr>
            </w:pPr>
            <w:r w:rsidRPr="00932C78">
              <w:rPr>
                <w:color w:val="000000"/>
                <w:sz w:val="22"/>
                <w:szCs w:val="22"/>
              </w:rPr>
              <w:t xml:space="preserve">   - Réseau international</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5 717</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5 516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color w:val="FF0000"/>
              </w:rPr>
            </w:pPr>
            <w:r w:rsidRPr="00932C78">
              <w:rPr>
                <w:color w:val="FF0000"/>
                <w:sz w:val="22"/>
                <w:szCs w:val="22"/>
              </w:rPr>
              <w:t>-3,5%</w:t>
            </w:r>
          </w:p>
        </w:tc>
      </w:tr>
      <w:tr w:rsidR="008F715D" w:rsidRPr="00932C7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32C78" w:rsidRDefault="008F715D" w:rsidP="002105A0">
            <w:pPr>
              <w:rPr>
                <w:b/>
                <w:bCs/>
                <w:color w:val="000000"/>
              </w:rPr>
            </w:pPr>
            <w:r w:rsidRPr="00932C78">
              <w:rPr>
                <w:b/>
                <w:bCs/>
                <w:color w:val="000000"/>
                <w:sz w:val="22"/>
                <w:szCs w:val="22"/>
              </w:rPr>
              <w:t>Passagers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b/>
                <w:bCs/>
              </w:rPr>
            </w:pPr>
            <w:r w:rsidRPr="00932C78">
              <w:rPr>
                <w:b/>
                <w:bCs/>
                <w:sz w:val="22"/>
                <w:szCs w:val="22"/>
              </w:rPr>
              <w:t>484 461</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b/>
                <w:bCs/>
              </w:rPr>
            </w:pPr>
            <w:r w:rsidRPr="00932C78">
              <w:rPr>
                <w:b/>
                <w:bCs/>
                <w:sz w:val="22"/>
                <w:szCs w:val="22"/>
              </w:rPr>
              <w:t>422 883</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b/>
                <w:bCs/>
                <w:color w:val="FF0000"/>
              </w:rPr>
            </w:pPr>
            <w:r w:rsidRPr="00932C78">
              <w:rPr>
                <w:b/>
                <w:bCs/>
                <w:color w:val="FF0000"/>
                <w:sz w:val="22"/>
                <w:szCs w:val="22"/>
              </w:rPr>
              <w:t>-12,7%</w:t>
            </w:r>
          </w:p>
        </w:tc>
      </w:tr>
      <w:tr w:rsidR="008F715D" w:rsidRPr="00932C7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32C78" w:rsidRDefault="008F715D" w:rsidP="002105A0">
            <w:pPr>
              <w:rPr>
                <w:color w:val="000000"/>
              </w:rPr>
            </w:pPr>
            <w:r w:rsidRPr="00932C78">
              <w:rPr>
                <w:color w:val="000000"/>
                <w:sz w:val="22"/>
                <w:szCs w:val="22"/>
              </w:rPr>
              <w:lastRenderedPageBreak/>
              <w:t xml:space="preserve">   - Réseau domestique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134 486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121 374</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color w:val="FF0000"/>
              </w:rPr>
            </w:pPr>
            <w:r w:rsidRPr="00932C78">
              <w:rPr>
                <w:color w:val="FF0000"/>
                <w:sz w:val="22"/>
                <w:szCs w:val="22"/>
              </w:rPr>
              <w:t>-9,7%</w:t>
            </w:r>
          </w:p>
        </w:tc>
      </w:tr>
      <w:tr w:rsidR="008F715D" w:rsidRPr="00932C7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32C78" w:rsidRDefault="008F715D" w:rsidP="002105A0">
            <w:pPr>
              <w:rPr>
                <w:color w:val="000000"/>
              </w:rPr>
            </w:pPr>
            <w:r w:rsidRPr="00932C78">
              <w:rPr>
                <w:color w:val="000000"/>
                <w:sz w:val="22"/>
                <w:szCs w:val="22"/>
              </w:rPr>
              <w:t xml:space="preserve">   - Réseau international</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294 481</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233 818</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color w:val="FF0000"/>
              </w:rPr>
            </w:pPr>
            <w:r w:rsidRPr="00932C78">
              <w:rPr>
                <w:color w:val="FF0000"/>
                <w:sz w:val="22"/>
                <w:szCs w:val="22"/>
              </w:rPr>
              <w:t>-20,6%</w:t>
            </w:r>
          </w:p>
        </w:tc>
      </w:tr>
      <w:tr w:rsidR="008F715D" w:rsidRPr="00932C7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32C78" w:rsidRDefault="008F715D" w:rsidP="002105A0">
            <w:pPr>
              <w:rPr>
                <w:color w:val="000000"/>
              </w:rPr>
            </w:pPr>
            <w:r w:rsidRPr="00932C78">
              <w:rPr>
                <w:color w:val="000000"/>
                <w:sz w:val="22"/>
                <w:szCs w:val="22"/>
              </w:rPr>
              <w:t xml:space="preserve">   - Transit</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55 494</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67 691</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22,0%</w:t>
            </w:r>
          </w:p>
        </w:tc>
      </w:tr>
      <w:tr w:rsidR="008F715D" w:rsidRPr="00932C7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32C78" w:rsidRDefault="008F715D" w:rsidP="002105A0">
            <w:pPr>
              <w:rPr>
                <w:b/>
                <w:bCs/>
                <w:color w:val="000000"/>
              </w:rPr>
            </w:pPr>
            <w:r w:rsidRPr="00932C78">
              <w:rPr>
                <w:b/>
                <w:bCs/>
                <w:color w:val="000000"/>
                <w:sz w:val="22"/>
                <w:szCs w:val="22"/>
              </w:rPr>
              <w:t>Volume du fret (en tonnes)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b/>
                <w:bCs/>
              </w:rPr>
            </w:pPr>
            <w:r w:rsidRPr="00932C78">
              <w:rPr>
                <w:b/>
                <w:bCs/>
                <w:sz w:val="22"/>
                <w:szCs w:val="22"/>
              </w:rPr>
              <w:t>7 846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b/>
                <w:bCs/>
              </w:rPr>
            </w:pPr>
            <w:r w:rsidRPr="00932C78">
              <w:rPr>
                <w:b/>
                <w:bCs/>
                <w:sz w:val="22"/>
                <w:szCs w:val="22"/>
              </w:rPr>
              <w:t>7 101</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b/>
                <w:bCs/>
                <w:color w:val="FF0000"/>
              </w:rPr>
            </w:pPr>
            <w:r w:rsidRPr="00932C78">
              <w:rPr>
                <w:b/>
                <w:bCs/>
                <w:color w:val="FF0000"/>
                <w:sz w:val="22"/>
                <w:szCs w:val="22"/>
              </w:rPr>
              <w:t>-9,5%</w:t>
            </w:r>
          </w:p>
        </w:tc>
      </w:tr>
      <w:tr w:rsidR="008F715D" w:rsidRPr="00932C7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32C78" w:rsidRDefault="008F715D" w:rsidP="002105A0">
            <w:pPr>
              <w:rPr>
                <w:color w:val="000000"/>
              </w:rPr>
            </w:pPr>
            <w:r w:rsidRPr="00932C78">
              <w:rPr>
                <w:color w:val="000000"/>
                <w:sz w:val="22"/>
                <w:szCs w:val="22"/>
              </w:rPr>
              <w:t xml:space="preserve">   - Réseau domestique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636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415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color w:val="FF0000"/>
              </w:rPr>
            </w:pPr>
            <w:r w:rsidRPr="00932C78">
              <w:rPr>
                <w:color w:val="FF0000"/>
                <w:sz w:val="22"/>
                <w:szCs w:val="22"/>
              </w:rPr>
              <w:t>-34,8%</w:t>
            </w:r>
          </w:p>
        </w:tc>
      </w:tr>
      <w:tr w:rsidR="008F715D" w:rsidRPr="00932C7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32C78" w:rsidRDefault="008F715D" w:rsidP="002105A0">
            <w:pPr>
              <w:rPr>
                <w:color w:val="000000"/>
              </w:rPr>
            </w:pPr>
            <w:r w:rsidRPr="00932C78">
              <w:rPr>
                <w:color w:val="000000"/>
                <w:sz w:val="22"/>
                <w:szCs w:val="22"/>
              </w:rPr>
              <w:t xml:space="preserve">   - Réseau international</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7 210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pPr>
            <w:r w:rsidRPr="00932C78">
              <w:rPr>
                <w:sz w:val="22"/>
                <w:szCs w:val="22"/>
              </w:rPr>
              <w:t>6 686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932C78" w:rsidRDefault="008F715D" w:rsidP="002105A0">
            <w:pPr>
              <w:jc w:val="center"/>
              <w:rPr>
                <w:color w:val="FF0000"/>
              </w:rPr>
            </w:pPr>
            <w:r w:rsidRPr="00932C78">
              <w:rPr>
                <w:color w:val="FF0000"/>
                <w:sz w:val="22"/>
                <w:szCs w:val="22"/>
              </w:rPr>
              <w:t>-7,3%</w:t>
            </w:r>
          </w:p>
        </w:tc>
      </w:tr>
    </w:tbl>
    <w:p w:rsidR="008F715D" w:rsidRPr="00244224" w:rsidRDefault="008F715D" w:rsidP="008F715D">
      <w:pPr>
        <w:jc w:val="both"/>
        <w:rPr>
          <w:rFonts w:asciiTheme="majorBidi" w:hAnsiTheme="majorBidi" w:cstheme="majorBidi"/>
          <w:bCs/>
          <w:sz w:val="20"/>
          <w:szCs w:val="20"/>
        </w:rPr>
      </w:pPr>
      <w:r w:rsidRPr="00244224">
        <w:rPr>
          <w:rFonts w:asciiTheme="majorBidi" w:hAnsiTheme="majorBidi" w:cstheme="majorBidi"/>
          <w:bCs/>
          <w:i/>
          <w:iCs/>
          <w:sz w:val="20"/>
          <w:szCs w:val="20"/>
        </w:rPr>
        <w:t>Source: ADL</w:t>
      </w:r>
    </w:p>
    <w:p w:rsidR="008F715D" w:rsidRPr="00125AFA" w:rsidRDefault="008F715D" w:rsidP="008F715D">
      <w:pPr>
        <w:pStyle w:val="Titre3"/>
        <w:ind w:firstLine="0"/>
        <w:rPr>
          <w:rFonts w:asciiTheme="majorBidi" w:hAnsiTheme="majorBidi" w:cstheme="majorBidi"/>
          <w:b/>
          <w:bCs/>
          <w:i/>
          <w:iCs/>
          <w:color w:val="0000FF"/>
          <w:sz w:val="24"/>
        </w:rPr>
      </w:pPr>
      <w:bookmarkStart w:id="159" w:name="_Toc356891327"/>
      <w:bookmarkStart w:id="160" w:name="_Toc389653151"/>
      <w:bookmarkStart w:id="161" w:name="_Toc389653379"/>
      <w:bookmarkStart w:id="162" w:name="_Toc397691619"/>
      <w:bookmarkStart w:id="163" w:name="_Toc420027533"/>
      <w:bookmarkStart w:id="164" w:name="_Toc462990835"/>
      <w:r w:rsidRPr="00125AFA">
        <w:rPr>
          <w:rFonts w:asciiTheme="majorBidi" w:hAnsiTheme="majorBidi" w:cstheme="majorBidi"/>
          <w:b/>
          <w:bCs/>
          <w:i/>
          <w:iCs/>
          <w:color w:val="0000FF"/>
          <w:sz w:val="24"/>
        </w:rPr>
        <w:t>II.1</w:t>
      </w:r>
      <w:r>
        <w:rPr>
          <w:rFonts w:asciiTheme="majorBidi" w:hAnsiTheme="majorBidi" w:cstheme="majorBidi"/>
          <w:b/>
          <w:bCs/>
          <w:i/>
          <w:iCs/>
          <w:color w:val="0000FF"/>
          <w:sz w:val="24"/>
        </w:rPr>
        <w:t>3</w:t>
      </w:r>
      <w:r w:rsidRPr="00125AFA">
        <w:rPr>
          <w:rFonts w:asciiTheme="majorBidi" w:hAnsiTheme="majorBidi" w:cstheme="majorBidi"/>
          <w:b/>
          <w:bCs/>
          <w:i/>
          <w:iCs/>
          <w:color w:val="0000FF"/>
          <w:sz w:val="24"/>
        </w:rPr>
        <w:t>.2. Le transport ferroviaire</w:t>
      </w:r>
      <w:bookmarkEnd w:id="159"/>
      <w:bookmarkEnd w:id="160"/>
      <w:bookmarkEnd w:id="161"/>
      <w:bookmarkEnd w:id="162"/>
      <w:bookmarkEnd w:id="163"/>
      <w:bookmarkEnd w:id="164"/>
    </w:p>
    <w:p w:rsidR="008F715D" w:rsidRPr="00125AFA" w:rsidRDefault="008F715D" w:rsidP="008F715D">
      <w:pPr>
        <w:jc w:val="both"/>
        <w:rPr>
          <w:rFonts w:asciiTheme="majorBidi" w:hAnsiTheme="majorBidi" w:cstheme="majorBidi"/>
        </w:rPr>
      </w:pPr>
    </w:p>
    <w:p w:rsidR="008F715D" w:rsidRPr="00B06894" w:rsidRDefault="008F715D" w:rsidP="008F715D">
      <w:pPr>
        <w:jc w:val="both"/>
        <w:rPr>
          <w:rFonts w:asciiTheme="majorBidi" w:hAnsiTheme="majorBidi" w:cstheme="majorBidi"/>
        </w:rPr>
      </w:pPr>
      <w:r w:rsidRPr="00B06894">
        <w:rPr>
          <w:rFonts w:asciiTheme="majorBidi" w:hAnsiTheme="majorBidi" w:cstheme="majorBidi"/>
        </w:rPr>
        <w:t>Durant le premier semestre 2016, l’activité ferroviaire a été marquée globalement par une atonie de l’activité, en liaison avec la morosité de l’activité minière et des BTP. En effet, le volume total de marchandises acheminées par rail a régressé de 17,7% pour se situer à 1,9 millions de tonnes contre 2,3 millions de tonnes en 2015, imputable au transport du manganèse et des produits pétroliers raffinés et ce, malgré la progression des volumes des bois débités, des  grumes et des autres marchandises évacués.</w:t>
      </w:r>
    </w:p>
    <w:p w:rsidR="008F715D" w:rsidRPr="00B06894" w:rsidRDefault="008F715D" w:rsidP="008F715D">
      <w:pPr>
        <w:jc w:val="both"/>
        <w:rPr>
          <w:rFonts w:asciiTheme="majorBidi" w:hAnsiTheme="majorBidi" w:cstheme="majorBidi"/>
        </w:rPr>
      </w:pPr>
    </w:p>
    <w:p w:rsidR="008F715D" w:rsidRPr="00B06894" w:rsidRDefault="008F715D" w:rsidP="008F715D">
      <w:pPr>
        <w:jc w:val="both"/>
        <w:rPr>
          <w:rFonts w:asciiTheme="majorBidi" w:hAnsiTheme="majorBidi" w:cstheme="majorBidi"/>
        </w:rPr>
      </w:pPr>
      <w:r w:rsidRPr="00B06894">
        <w:rPr>
          <w:rFonts w:asciiTheme="majorBidi" w:hAnsiTheme="majorBidi" w:cstheme="majorBidi"/>
        </w:rPr>
        <w:t>Cependant, le nombre de passagers transportés a connu une hausse de 33,9%, soit 113 375 clients. Cette performance résulte d’une meilleure régularité et disponibilité des trains voyageurs, suite aux travaux de maintenance et de stabilisation de la voie ferrée.</w:t>
      </w:r>
    </w:p>
    <w:p w:rsidR="008F715D" w:rsidRPr="00B06894"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rPr>
      </w:pPr>
      <w:r w:rsidRPr="00B06894">
        <w:rPr>
          <w:rFonts w:asciiTheme="majorBidi" w:hAnsiTheme="majorBidi" w:cstheme="majorBidi"/>
        </w:rPr>
        <w:t>Dans ce contexte, le chiffre d’affaires s’est amélioré de 7,3% à 24,1 milliards de FCFA à fin juin 2016, soutenu par la bonne tenue du transport du  bois, des passagers et des autres marchandises.</w:t>
      </w:r>
    </w:p>
    <w:p w:rsidR="008F715D" w:rsidRPr="008B582D"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b/>
          <w:bCs/>
          <w:i/>
          <w:iCs/>
        </w:rPr>
      </w:pPr>
      <w:r w:rsidRPr="00CB1F5B">
        <w:rPr>
          <w:rFonts w:asciiTheme="majorBidi" w:hAnsiTheme="majorBidi" w:cstheme="majorBidi"/>
          <w:b/>
          <w:bCs/>
          <w:i/>
          <w:iCs/>
        </w:rPr>
        <w:t>Evolution de l'activité du transport ferroviaire</w:t>
      </w:r>
    </w:p>
    <w:tbl>
      <w:tblPr>
        <w:tblW w:w="8804" w:type="dxa"/>
        <w:tblInd w:w="55" w:type="dxa"/>
        <w:tblLayout w:type="fixed"/>
        <w:tblCellMar>
          <w:left w:w="70" w:type="dxa"/>
          <w:right w:w="70" w:type="dxa"/>
        </w:tblCellMar>
        <w:tblLook w:val="04A0"/>
      </w:tblPr>
      <w:tblGrid>
        <w:gridCol w:w="4840"/>
        <w:gridCol w:w="1321"/>
        <w:gridCol w:w="1321"/>
        <w:gridCol w:w="1322"/>
      </w:tblGrid>
      <w:tr w:rsidR="008F715D" w:rsidRPr="00EC4E7A"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EC4E7A" w:rsidRDefault="008F715D" w:rsidP="002105A0">
            <w:pPr>
              <w:rPr>
                <w:color w:val="000000"/>
              </w:rPr>
            </w:pPr>
            <w:r w:rsidRPr="00EC4E7A">
              <w:rPr>
                <w:color w:val="000000"/>
                <w:sz w:val="22"/>
                <w:szCs w:val="22"/>
              </w:rPr>
              <w:t> </w:t>
            </w:r>
          </w:p>
        </w:tc>
        <w:tc>
          <w:tcPr>
            <w:tcW w:w="3964"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rPr>
                <w:color w:val="000000"/>
              </w:rPr>
            </w:pPr>
            <w:r w:rsidRPr="00EC4E7A">
              <w:rPr>
                <w:color w:val="000000"/>
                <w:sz w:val="22"/>
                <w:szCs w:val="22"/>
              </w:rPr>
              <w:t>Premier semestre</w:t>
            </w:r>
          </w:p>
        </w:tc>
      </w:tr>
      <w:tr w:rsidR="008F715D" w:rsidRPr="00EC4E7A"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C4E7A" w:rsidRDefault="008F715D" w:rsidP="002105A0">
            <w:pPr>
              <w:rPr>
                <w:color w:val="000000"/>
              </w:rPr>
            </w:pPr>
            <w:r w:rsidRPr="00EC4E7A">
              <w:rPr>
                <w:color w:val="000000"/>
                <w:sz w:val="22"/>
                <w:szCs w:val="22"/>
              </w:rPr>
              <w:t> </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rPr>
                <w:color w:val="000000"/>
              </w:rPr>
            </w:pPr>
            <w:r w:rsidRPr="00EC4E7A">
              <w:rPr>
                <w:color w:val="000000"/>
                <w:sz w:val="22"/>
                <w:szCs w:val="22"/>
              </w:rPr>
              <w:t>2015</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rPr>
                <w:color w:val="000000"/>
              </w:rPr>
            </w:pPr>
            <w:r w:rsidRPr="00EC4E7A">
              <w:rPr>
                <w:color w:val="000000"/>
                <w:sz w:val="22"/>
                <w:szCs w:val="22"/>
              </w:rPr>
              <w:t>2016</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Var 16/15</w:t>
            </w:r>
          </w:p>
        </w:tc>
      </w:tr>
      <w:tr w:rsidR="008F715D" w:rsidRPr="00EC4E7A"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C4E7A" w:rsidRDefault="008F715D" w:rsidP="002105A0">
            <w:r w:rsidRPr="00EC4E7A">
              <w:rPr>
                <w:sz w:val="22"/>
                <w:szCs w:val="22"/>
              </w:rPr>
              <w:t>Nombre de passagers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84 657</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113 375</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33,9%</w:t>
            </w:r>
          </w:p>
        </w:tc>
      </w:tr>
      <w:tr w:rsidR="008F715D" w:rsidRPr="00EC4E7A"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C4E7A" w:rsidRDefault="008F715D" w:rsidP="002105A0">
            <w:pPr>
              <w:rPr>
                <w:b/>
                <w:bCs/>
              </w:rPr>
            </w:pPr>
            <w:r w:rsidRPr="00EC4E7A">
              <w:rPr>
                <w:b/>
                <w:bCs/>
                <w:sz w:val="22"/>
                <w:szCs w:val="22"/>
              </w:rPr>
              <w:t>Volume global des marchandises (en T)</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rPr>
                <w:b/>
                <w:bCs/>
              </w:rPr>
            </w:pPr>
            <w:r w:rsidRPr="00EC4E7A">
              <w:rPr>
                <w:b/>
                <w:bCs/>
                <w:sz w:val="22"/>
                <w:szCs w:val="22"/>
              </w:rPr>
              <w:t>2 327 882</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rPr>
                <w:b/>
                <w:bCs/>
              </w:rPr>
            </w:pPr>
            <w:r w:rsidRPr="00EC4E7A">
              <w:rPr>
                <w:b/>
                <w:bCs/>
                <w:sz w:val="22"/>
                <w:szCs w:val="22"/>
              </w:rPr>
              <w:t>1 916 090</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rPr>
                <w:b/>
                <w:bCs/>
                <w:color w:val="FF0000"/>
              </w:rPr>
            </w:pPr>
            <w:r w:rsidRPr="00EC4E7A">
              <w:rPr>
                <w:b/>
                <w:bCs/>
                <w:color w:val="FF0000"/>
                <w:sz w:val="22"/>
                <w:szCs w:val="22"/>
              </w:rPr>
              <w:t>-17,7%</w:t>
            </w:r>
          </w:p>
        </w:tc>
      </w:tr>
      <w:tr w:rsidR="008F715D" w:rsidRPr="00EC4E7A"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C4E7A" w:rsidRDefault="008F715D" w:rsidP="002105A0">
            <w:r w:rsidRPr="00EC4E7A">
              <w:rPr>
                <w:sz w:val="22"/>
                <w:szCs w:val="22"/>
              </w:rPr>
              <w:t xml:space="preserve">    Grumes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142 977</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176 290</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23,3%</w:t>
            </w:r>
          </w:p>
        </w:tc>
      </w:tr>
      <w:tr w:rsidR="008F715D" w:rsidRPr="00EC4E7A"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C4E7A" w:rsidRDefault="008F715D" w:rsidP="002105A0">
            <w:r w:rsidRPr="00EC4E7A">
              <w:rPr>
                <w:sz w:val="22"/>
                <w:szCs w:val="22"/>
              </w:rPr>
              <w:t xml:space="preserve">    Bois débités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15 593</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19 661</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26,1%</w:t>
            </w:r>
          </w:p>
        </w:tc>
      </w:tr>
      <w:tr w:rsidR="008F715D" w:rsidRPr="00EC4E7A"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C4E7A" w:rsidRDefault="008F715D" w:rsidP="002105A0">
            <w:r w:rsidRPr="00EC4E7A">
              <w:rPr>
                <w:sz w:val="22"/>
                <w:szCs w:val="22"/>
              </w:rPr>
              <w:t xml:space="preserve">    Manganèse</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2 009 666</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1 546 788</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rPr>
                <w:color w:val="FF0000"/>
              </w:rPr>
            </w:pPr>
            <w:r w:rsidRPr="00EC4E7A">
              <w:rPr>
                <w:color w:val="FF0000"/>
                <w:sz w:val="22"/>
                <w:szCs w:val="22"/>
              </w:rPr>
              <w:t>-23,0%</w:t>
            </w:r>
          </w:p>
        </w:tc>
      </w:tr>
      <w:tr w:rsidR="008F715D" w:rsidRPr="00EC4E7A"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C4E7A" w:rsidRDefault="008F715D" w:rsidP="002105A0">
            <w:r w:rsidRPr="00EC4E7A">
              <w:rPr>
                <w:sz w:val="22"/>
                <w:szCs w:val="22"/>
              </w:rPr>
              <w:t xml:space="preserve">    Produits pétroliers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27 748</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22 773</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rPr>
                <w:color w:val="FF0000"/>
              </w:rPr>
            </w:pPr>
            <w:r w:rsidRPr="00EC4E7A">
              <w:rPr>
                <w:color w:val="FF0000"/>
                <w:sz w:val="22"/>
                <w:szCs w:val="22"/>
              </w:rPr>
              <w:t>-17,9%</w:t>
            </w:r>
          </w:p>
        </w:tc>
      </w:tr>
      <w:tr w:rsidR="008F715D" w:rsidRPr="00EC4E7A"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C4E7A" w:rsidRDefault="008F715D" w:rsidP="002105A0">
            <w:r w:rsidRPr="00EC4E7A">
              <w:rPr>
                <w:sz w:val="22"/>
                <w:szCs w:val="22"/>
              </w:rPr>
              <w:t xml:space="preserve">    Autres marchandises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131 898</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150 578</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sidRPr="00EC4E7A">
              <w:rPr>
                <w:sz w:val="22"/>
                <w:szCs w:val="22"/>
              </w:rPr>
              <w:t>14,2%</w:t>
            </w:r>
          </w:p>
        </w:tc>
      </w:tr>
      <w:tr w:rsidR="008F715D" w:rsidRPr="00EC4E7A" w:rsidTr="002105A0">
        <w:trPr>
          <w:trHeight w:val="345"/>
        </w:trPr>
        <w:tc>
          <w:tcPr>
            <w:tcW w:w="4840" w:type="dxa"/>
            <w:tcBorders>
              <w:top w:val="single" w:sz="12" w:space="0" w:color="0070C0"/>
              <w:left w:val="single" w:sz="12" w:space="0" w:color="0070C0"/>
              <w:bottom w:val="single" w:sz="12" w:space="0" w:color="0070C0"/>
              <w:right w:val="single" w:sz="12" w:space="0" w:color="0070C0"/>
            </w:tcBorders>
            <w:shd w:val="clear" w:color="auto" w:fill="auto"/>
            <w:noWrap/>
            <w:vAlign w:val="center"/>
            <w:hideMark/>
          </w:tcPr>
          <w:p w:rsidR="008F715D" w:rsidRPr="00EC4E7A" w:rsidRDefault="008F715D" w:rsidP="002105A0">
            <w:r>
              <w:rPr>
                <w:b/>
                <w:bCs/>
                <w:sz w:val="22"/>
                <w:szCs w:val="22"/>
              </w:rPr>
              <w:t>Chiffre d'affaires (millions de FCFA)</w:t>
            </w:r>
          </w:p>
        </w:tc>
        <w:tc>
          <w:tcPr>
            <w:tcW w:w="1321" w:type="dxa"/>
            <w:tcBorders>
              <w:top w:val="single" w:sz="12" w:space="0" w:color="0070C0"/>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Pr>
                <w:sz w:val="22"/>
                <w:szCs w:val="22"/>
              </w:rPr>
              <w:t>22 458</w:t>
            </w:r>
          </w:p>
        </w:tc>
        <w:tc>
          <w:tcPr>
            <w:tcW w:w="1321" w:type="dxa"/>
            <w:tcBorders>
              <w:top w:val="single" w:sz="12" w:space="0" w:color="0070C0"/>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Pr>
                <w:sz w:val="22"/>
                <w:szCs w:val="22"/>
              </w:rPr>
              <w:t>24 095</w:t>
            </w:r>
          </w:p>
        </w:tc>
        <w:tc>
          <w:tcPr>
            <w:tcW w:w="1322" w:type="dxa"/>
            <w:tcBorders>
              <w:top w:val="single" w:sz="12" w:space="0" w:color="0070C0"/>
              <w:left w:val="nil"/>
              <w:bottom w:val="single" w:sz="12" w:space="0" w:color="0070C0"/>
              <w:right w:val="single" w:sz="12" w:space="0" w:color="0070C0"/>
            </w:tcBorders>
            <w:shd w:val="clear" w:color="auto" w:fill="auto"/>
            <w:noWrap/>
            <w:vAlign w:val="center"/>
            <w:hideMark/>
          </w:tcPr>
          <w:p w:rsidR="008F715D" w:rsidRPr="00EC4E7A" w:rsidRDefault="008F715D" w:rsidP="002105A0">
            <w:pPr>
              <w:jc w:val="center"/>
            </w:pPr>
            <w:r>
              <w:rPr>
                <w:sz w:val="22"/>
                <w:szCs w:val="22"/>
              </w:rPr>
              <w:t>7,3%</w:t>
            </w:r>
          </w:p>
        </w:tc>
      </w:tr>
    </w:tbl>
    <w:p w:rsidR="008F715D" w:rsidRPr="00125AFA" w:rsidRDefault="008F715D" w:rsidP="008F715D">
      <w:pPr>
        <w:rPr>
          <w:rFonts w:asciiTheme="majorBidi" w:hAnsiTheme="majorBidi" w:cstheme="majorBidi"/>
          <w:i/>
          <w:sz w:val="16"/>
          <w:szCs w:val="16"/>
        </w:rPr>
      </w:pPr>
      <w:r w:rsidRPr="00125AFA">
        <w:rPr>
          <w:rFonts w:asciiTheme="majorBidi" w:hAnsiTheme="majorBidi" w:cstheme="majorBidi"/>
          <w:b/>
          <w:bCs/>
          <w:i/>
          <w:color w:val="000000"/>
          <w:sz w:val="16"/>
          <w:szCs w:val="16"/>
        </w:rPr>
        <w:t>Source: SETRAG</w:t>
      </w:r>
    </w:p>
    <w:p w:rsidR="008F715D" w:rsidRPr="00125AFA" w:rsidRDefault="008F715D" w:rsidP="008F715D">
      <w:pPr>
        <w:jc w:val="both"/>
        <w:rPr>
          <w:rFonts w:asciiTheme="majorBidi" w:hAnsiTheme="majorBidi" w:cstheme="majorBidi"/>
        </w:rPr>
      </w:pPr>
    </w:p>
    <w:p w:rsidR="008F715D" w:rsidRPr="00125AFA" w:rsidRDefault="008F715D" w:rsidP="008F715D">
      <w:pPr>
        <w:pStyle w:val="Titre2"/>
        <w:rPr>
          <w:rFonts w:asciiTheme="majorBidi" w:hAnsiTheme="majorBidi" w:cstheme="majorBidi"/>
          <w:b/>
          <w:bCs/>
          <w:i w:val="0"/>
          <w:color w:val="0000FF"/>
          <w:sz w:val="24"/>
        </w:rPr>
      </w:pPr>
      <w:bookmarkStart w:id="165" w:name="_Toc356891330"/>
      <w:bookmarkStart w:id="166" w:name="_Toc389653152"/>
      <w:bookmarkStart w:id="167" w:name="_Toc389653380"/>
      <w:bookmarkStart w:id="168" w:name="_Toc420027534"/>
      <w:bookmarkStart w:id="169" w:name="_Toc462990836"/>
      <w:bookmarkStart w:id="170" w:name="_Toc63511813"/>
      <w:bookmarkStart w:id="171" w:name="_Toc77665762"/>
      <w:r>
        <w:rPr>
          <w:rFonts w:asciiTheme="majorBidi" w:hAnsiTheme="majorBidi" w:cstheme="majorBidi"/>
          <w:b/>
          <w:bCs/>
          <w:i w:val="0"/>
          <w:color w:val="0000FF"/>
          <w:sz w:val="24"/>
        </w:rPr>
        <w:t>I</w:t>
      </w:r>
      <w:r w:rsidRPr="00125AFA">
        <w:rPr>
          <w:rFonts w:asciiTheme="majorBidi" w:hAnsiTheme="majorBidi" w:cstheme="majorBidi"/>
          <w:b/>
          <w:bCs/>
          <w:i w:val="0"/>
          <w:color w:val="0000FF"/>
          <w:sz w:val="24"/>
        </w:rPr>
        <w:t>I.1</w:t>
      </w:r>
      <w:r>
        <w:rPr>
          <w:rFonts w:asciiTheme="majorBidi" w:hAnsiTheme="majorBidi" w:cstheme="majorBidi"/>
          <w:b/>
          <w:bCs/>
          <w:i w:val="0"/>
          <w:color w:val="0000FF"/>
          <w:sz w:val="24"/>
        </w:rPr>
        <w:t>4</w:t>
      </w:r>
      <w:r w:rsidRPr="00125AFA">
        <w:rPr>
          <w:rFonts w:asciiTheme="majorBidi" w:hAnsiTheme="majorBidi" w:cstheme="majorBidi"/>
          <w:b/>
          <w:bCs/>
          <w:i w:val="0"/>
          <w:color w:val="0000FF"/>
          <w:sz w:val="24"/>
        </w:rPr>
        <w:t>.</w:t>
      </w:r>
      <w:r>
        <w:rPr>
          <w:rFonts w:asciiTheme="majorBidi" w:hAnsiTheme="majorBidi" w:cstheme="majorBidi"/>
          <w:b/>
          <w:bCs/>
          <w:i w:val="0"/>
          <w:color w:val="0000FF"/>
          <w:sz w:val="24"/>
        </w:rPr>
        <w:t xml:space="preserve"> </w:t>
      </w:r>
      <w:r w:rsidRPr="00125AFA">
        <w:rPr>
          <w:rFonts w:asciiTheme="majorBidi" w:hAnsiTheme="majorBidi" w:cstheme="majorBidi"/>
          <w:b/>
          <w:bCs/>
          <w:i w:val="0"/>
          <w:color w:val="0000FF"/>
          <w:sz w:val="24"/>
        </w:rPr>
        <w:t>LES TELECOMMUNICATIONS</w:t>
      </w:r>
      <w:bookmarkEnd w:id="165"/>
      <w:bookmarkEnd w:id="166"/>
      <w:bookmarkEnd w:id="167"/>
      <w:bookmarkEnd w:id="168"/>
      <w:bookmarkEnd w:id="169"/>
    </w:p>
    <w:p w:rsidR="008F715D"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rPr>
      </w:pPr>
      <w:r w:rsidRPr="004B14A6">
        <w:rPr>
          <w:rFonts w:asciiTheme="majorBidi" w:hAnsiTheme="majorBidi" w:cstheme="majorBidi"/>
        </w:rPr>
        <w:t>La branche des télécommunications a été marquée par l’</w:t>
      </w:r>
      <w:r w:rsidRPr="004B14A6">
        <w:rPr>
          <w:rFonts w:asciiTheme="majorBidi" w:eastAsiaTheme="minorHAnsi" w:hAnsiTheme="majorBidi" w:cstheme="majorBidi"/>
          <w:lang w:eastAsia="en-US"/>
        </w:rPr>
        <w:t>acquisition d’Atlantique Telecom Gabon (MOOV) par Gabon Télécom</w:t>
      </w:r>
      <w:r w:rsidRPr="004B14A6">
        <w:rPr>
          <w:rFonts w:asciiTheme="majorBidi" w:hAnsiTheme="majorBidi" w:cstheme="majorBidi"/>
        </w:rPr>
        <w:t xml:space="preserve"> au mois de juin 2016 et par un regain d’activité après l’atonie observée en début d’année</w:t>
      </w:r>
      <w:r>
        <w:rPr>
          <w:rFonts w:asciiTheme="majorBidi" w:hAnsiTheme="majorBidi" w:cstheme="majorBidi"/>
        </w:rPr>
        <w:t>,</w:t>
      </w:r>
      <w:r w:rsidRPr="004B14A6">
        <w:rPr>
          <w:rFonts w:asciiTheme="majorBidi" w:hAnsiTheme="majorBidi" w:cstheme="majorBidi"/>
        </w:rPr>
        <w:t xml:space="preserve"> suite à la campagne d’identification des clients par les opérateurs de la téléphonie mobile réalisée en 2015. Ainsi, le nombre d’abonnés au téléphone GSM a progressé de 4,7% pour atteindre 2,8 millions de clients actifs. De même, le nombre d’abonnés au téléphone fixe a enregistré une hausse de 7,9%.</w:t>
      </w:r>
    </w:p>
    <w:p w:rsidR="008F715D" w:rsidRPr="001C157D" w:rsidRDefault="008F715D" w:rsidP="008F715D">
      <w:pPr>
        <w:jc w:val="both"/>
        <w:rPr>
          <w:rFonts w:asciiTheme="majorBidi" w:hAnsiTheme="majorBidi" w:cstheme="majorBidi"/>
        </w:rPr>
      </w:pPr>
    </w:p>
    <w:p w:rsidR="008F715D" w:rsidRPr="00966FC6" w:rsidRDefault="008F715D" w:rsidP="008F715D">
      <w:pPr>
        <w:jc w:val="both"/>
        <w:rPr>
          <w:rFonts w:asciiTheme="majorBidi" w:hAnsiTheme="majorBidi" w:cstheme="majorBidi"/>
        </w:rPr>
      </w:pPr>
      <w:r w:rsidRPr="00966FC6">
        <w:rPr>
          <w:rFonts w:asciiTheme="majorBidi" w:hAnsiTheme="majorBidi" w:cstheme="majorBidi"/>
        </w:rPr>
        <w:t xml:space="preserve">Cependant, malgré le déploiement des services 3G/4G par deux opérateurs de téléphonie mobile à Libreville et à l’intérieur du pays, le </w:t>
      </w:r>
      <w:r>
        <w:rPr>
          <w:rFonts w:asciiTheme="majorBidi" w:hAnsiTheme="majorBidi" w:cstheme="majorBidi"/>
        </w:rPr>
        <w:t>parc</w:t>
      </w:r>
      <w:r w:rsidRPr="00966FC6">
        <w:rPr>
          <w:rFonts w:asciiTheme="majorBidi" w:hAnsiTheme="majorBidi" w:cstheme="majorBidi"/>
        </w:rPr>
        <w:t xml:space="preserve"> </w:t>
      </w:r>
      <w:r>
        <w:rPr>
          <w:rFonts w:asciiTheme="majorBidi" w:hAnsiTheme="majorBidi" w:cstheme="majorBidi"/>
        </w:rPr>
        <w:t>I</w:t>
      </w:r>
      <w:r w:rsidRPr="00966FC6">
        <w:rPr>
          <w:rFonts w:asciiTheme="majorBidi" w:hAnsiTheme="majorBidi" w:cstheme="majorBidi"/>
        </w:rPr>
        <w:t>nternet GSM a reculé de 6%, soit 394</w:t>
      </w:r>
      <w:r>
        <w:rPr>
          <w:rFonts w:asciiTheme="majorBidi" w:hAnsiTheme="majorBidi" w:cstheme="majorBidi"/>
        </w:rPr>
        <w:t> 000</w:t>
      </w:r>
      <w:r w:rsidRPr="00966FC6">
        <w:rPr>
          <w:rFonts w:asciiTheme="majorBidi" w:hAnsiTheme="majorBidi" w:cstheme="majorBidi"/>
        </w:rPr>
        <w:t xml:space="preserve"> clients actifs à fin juin 2016.</w:t>
      </w:r>
    </w:p>
    <w:p w:rsidR="008F715D" w:rsidRPr="001C157D" w:rsidRDefault="008F715D" w:rsidP="008F715D">
      <w:pPr>
        <w:jc w:val="both"/>
        <w:rPr>
          <w:rFonts w:asciiTheme="majorBidi" w:hAnsiTheme="majorBidi" w:cstheme="majorBidi"/>
        </w:rPr>
      </w:pPr>
    </w:p>
    <w:p w:rsidR="008F715D" w:rsidRPr="002B66BD" w:rsidRDefault="008F715D" w:rsidP="008F715D">
      <w:pPr>
        <w:jc w:val="both"/>
      </w:pPr>
      <w:r w:rsidRPr="002B66BD">
        <w:t>Dans ce contexte, le chiffre d’affaires du secteur des télécommunications a enregistré une amélioration de 2,3% au premier semestre 2016, passant à 138,1 milliards de FCFA.</w:t>
      </w:r>
    </w:p>
    <w:p w:rsidR="008F715D" w:rsidRDefault="008F715D" w:rsidP="008F715D">
      <w:pPr>
        <w:jc w:val="both"/>
      </w:pPr>
    </w:p>
    <w:p w:rsidR="008F715D" w:rsidRPr="00CB1F5B" w:rsidRDefault="008F715D" w:rsidP="008F715D">
      <w:pPr>
        <w:jc w:val="both"/>
      </w:pPr>
    </w:p>
    <w:p w:rsidR="008F715D" w:rsidRDefault="008F715D" w:rsidP="008F715D">
      <w:pPr>
        <w:jc w:val="both"/>
        <w:rPr>
          <w:rFonts w:asciiTheme="majorBidi" w:hAnsiTheme="majorBidi" w:cstheme="majorBidi"/>
          <w:b/>
          <w:i/>
          <w:iCs/>
        </w:rPr>
      </w:pPr>
      <w:r w:rsidRPr="00CB1F5B">
        <w:rPr>
          <w:rFonts w:asciiTheme="majorBidi" w:hAnsiTheme="majorBidi" w:cstheme="majorBidi"/>
          <w:b/>
          <w:i/>
          <w:iCs/>
        </w:rPr>
        <w:t>Evolution du nombre des abonnés</w:t>
      </w:r>
    </w:p>
    <w:tbl>
      <w:tblPr>
        <w:tblW w:w="8662" w:type="dxa"/>
        <w:tblInd w:w="55" w:type="dxa"/>
        <w:tblLayout w:type="fixed"/>
        <w:tblCellMar>
          <w:left w:w="70" w:type="dxa"/>
          <w:right w:w="70" w:type="dxa"/>
        </w:tblCellMar>
        <w:tblLook w:val="04A0"/>
      </w:tblPr>
      <w:tblGrid>
        <w:gridCol w:w="4840"/>
        <w:gridCol w:w="1274"/>
        <w:gridCol w:w="1274"/>
        <w:gridCol w:w="1274"/>
      </w:tblGrid>
      <w:tr w:rsidR="008F715D" w:rsidRPr="006A418F"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6A418F" w:rsidRDefault="008F715D" w:rsidP="002105A0">
            <w:pPr>
              <w:rPr>
                <w:color w:val="000000"/>
                <w:szCs w:val="20"/>
              </w:rPr>
            </w:pPr>
            <w:r w:rsidRPr="006A418F">
              <w:rPr>
                <w:color w:val="000000"/>
                <w:sz w:val="22"/>
                <w:szCs w:val="20"/>
              </w:rPr>
              <w:t> </w:t>
            </w:r>
          </w:p>
        </w:tc>
        <w:tc>
          <w:tcPr>
            <w:tcW w:w="3822"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color w:val="000000"/>
                <w:szCs w:val="20"/>
              </w:rPr>
            </w:pPr>
            <w:r w:rsidRPr="006A418F">
              <w:rPr>
                <w:color w:val="000000"/>
                <w:sz w:val="22"/>
                <w:szCs w:val="20"/>
              </w:rPr>
              <w:t>Premier semestre</w:t>
            </w:r>
          </w:p>
        </w:tc>
      </w:tr>
      <w:tr w:rsidR="008F715D" w:rsidRPr="006A41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6A418F" w:rsidRDefault="008F715D" w:rsidP="002105A0">
            <w:pPr>
              <w:rPr>
                <w:color w:val="000000"/>
                <w:szCs w:val="20"/>
              </w:rPr>
            </w:pPr>
            <w:r w:rsidRPr="006A418F">
              <w:rPr>
                <w:color w:val="000000"/>
                <w:sz w:val="22"/>
                <w:szCs w:val="20"/>
              </w:rPr>
              <w:t> </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color w:val="000000"/>
                <w:szCs w:val="20"/>
              </w:rPr>
            </w:pPr>
            <w:r w:rsidRPr="006A418F">
              <w:rPr>
                <w:color w:val="000000"/>
                <w:sz w:val="22"/>
                <w:szCs w:val="20"/>
              </w:rPr>
              <w:t>2015</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color w:val="000000"/>
                <w:szCs w:val="20"/>
              </w:rPr>
            </w:pPr>
            <w:r w:rsidRPr="006A418F">
              <w:rPr>
                <w:color w:val="000000"/>
                <w:sz w:val="22"/>
                <w:szCs w:val="20"/>
              </w:rPr>
              <w:t>2016</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szCs w:val="20"/>
              </w:rPr>
            </w:pPr>
            <w:r w:rsidRPr="006A418F">
              <w:rPr>
                <w:sz w:val="22"/>
                <w:szCs w:val="20"/>
              </w:rPr>
              <w:t>Var 16/15</w:t>
            </w:r>
          </w:p>
        </w:tc>
      </w:tr>
      <w:tr w:rsidR="008F715D" w:rsidRPr="006A41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6A418F" w:rsidRDefault="008F715D" w:rsidP="002105A0">
            <w:pPr>
              <w:rPr>
                <w:color w:val="000000"/>
                <w:szCs w:val="20"/>
              </w:rPr>
            </w:pPr>
            <w:r w:rsidRPr="006A418F">
              <w:rPr>
                <w:color w:val="000000"/>
                <w:sz w:val="22"/>
                <w:szCs w:val="20"/>
              </w:rPr>
              <w:t>Chiffres d’affaires (en milliards de FCFA)</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szCs w:val="20"/>
              </w:rPr>
            </w:pPr>
            <w:r w:rsidRPr="006A418F">
              <w:rPr>
                <w:sz w:val="22"/>
                <w:szCs w:val="20"/>
              </w:rPr>
              <w:t>135,1</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szCs w:val="20"/>
              </w:rPr>
            </w:pPr>
            <w:r w:rsidRPr="006A418F">
              <w:rPr>
                <w:sz w:val="22"/>
                <w:szCs w:val="20"/>
              </w:rPr>
              <w:t>138,1</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szCs w:val="20"/>
              </w:rPr>
            </w:pPr>
            <w:r w:rsidRPr="006A418F">
              <w:rPr>
                <w:sz w:val="22"/>
                <w:szCs w:val="20"/>
              </w:rPr>
              <w:t>2,3%</w:t>
            </w:r>
          </w:p>
        </w:tc>
      </w:tr>
      <w:tr w:rsidR="008F715D" w:rsidRPr="006A41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6A418F" w:rsidRDefault="008F715D" w:rsidP="002105A0">
            <w:pPr>
              <w:rPr>
                <w:color w:val="000000"/>
                <w:szCs w:val="20"/>
              </w:rPr>
            </w:pPr>
            <w:r w:rsidRPr="006A418F">
              <w:rPr>
                <w:color w:val="000000"/>
                <w:sz w:val="22"/>
                <w:szCs w:val="20"/>
              </w:rPr>
              <w:t>Nombre d'abonnées au mobile (milliers)</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szCs w:val="20"/>
              </w:rPr>
            </w:pPr>
            <w:r w:rsidRPr="006A418F">
              <w:rPr>
                <w:sz w:val="22"/>
                <w:szCs w:val="20"/>
              </w:rPr>
              <w:t>2 717,7</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szCs w:val="20"/>
              </w:rPr>
            </w:pPr>
            <w:r w:rsidRPr="006A418F">
              <w:rPr>
                <w:sz w:val="22"/>
                <w:szCs w:val="20"/>
              </w:rPr>
              <w:t>2 844,1</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szCs w:val="20"/>
              </w:rPr>
            </w:pPr>
            <w:r w:rsidRPr="006A418F">
              <w:rPr>
                <w:sz w:val="22"/>
                <w:szCs w:val="20"/>
              </w:rPr>
              <w:t>4,7%</w:t>
            </w:r>
          </w:p>
        </w:tc>
      </w:tr>
      <w:tr w:rsidR="008F715D" w:rsidRPr="006A41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6A418F" w:rsidRDefault="008F715D" w:rsidP="002105A0">
            <w:pPr>
              <w:rPr>
                <w:szCs w:val="20"/>
              </w:rPr>
            </w:pPr>
            <w:r w:rsidRPr="006A418F">
              <w:rPr>
                <w:sz w:val="22"/>
                <w:szCs w:val="20"/>
              </w:rPr>
              <w:t>Nombre d’abonnés au téléphone fixe (milliers)</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szCs w:val="20"/>
              </w:rPr>
            </w:pPr>
            <w:r w:rsidRPr="006A418F">
              <w:rPr>
                <w:sz w:val="22"/>
                <w:szCs w:val="20"/>
              </w:rPr>
              <w:t>18,0</w:t>
            </w:r>
          </w:p>
        </w:tc>
        <w:tc>
          <w:tcPr>
            <w:tcW w:w="1274" w:type="dxa"/>
            <w:tcBorders>
              <w:top w:val="nil"/>
              <w:left w:val="nil"/>
              <w:bottom w:val="single" w:sz="8" w:space="0" w:color="auto"/>
              <w:right w:val="single" w:sz="8" w:space="0" w:color="auto"/>
            </w:tcBorders>
            <w:shd w:val="clear" w:color="auto" w:fill="auto"/>
            <w:noWrap/>
            <w:vAlign w:val="bottom"/>
            <w:hideMark/>
          </w:tcPr>
          <w:p w:rsidR="008F715D" w:rsidRPr="006A418F" w:rsidRDefault="008F715D" w:rsidP="002105A0">
            <w:pPr>
              <w:jc w:val="center"/>
              <w:rPr>
                <w:color w:val="000000"/>
                <w:szCs w:val="20"/>
              </w:rPr>
            </w:pPr>
            <w:r w:rsidRPr="006A418F">
              <w:rPr>
                <w:color w:val="000000"/>
                <w:sz w:val="22"/>
                <w:szCs w:val="20"/>
              </w:rPr>
              <w:t>19,4</w:t>
            </w:r>
          </w:p>
        </w:tc>
        <w:tc>
          <w:tcPr>
            <w:tcW w:w="1274"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szCs w:val="20"/>
              </w:rPr>
            </w:pPr>
            <w:r w:rsidRPr="006A418F">
              <w:rPr>
                <w:sz w:val="22"/>
                <w:szCs w:val="20"/>
              </w:rPr>
              <w:t>7,9%</w:t>
            </w:r>
          </w:p>
        </w:tc>
      </w:tr>
      <w:tr w:rsidR="008F715D" w:rsidRPr="006A418F" w:rsidTr="002105A0">
        <w:trPr>
          <w:trHeight w:val="345"/>
        </w:trPr>
        <w:tc>
          <w:tcPr>
            <w:tcW w:w="4840" w:type="dxa"/>
            <w:tcBorders>
              <w:top w:val="nil"/>
              <w:left w:val="single" w:sz="8" w:space="0" w:color="auto"/>
              <w:bottom w:val="nil"/>
              <w:right w:val="single" w:sz="8" w:space="0" w:color="auto"/>
            </w:tcBorders>
            <w:shd w:val="clear" w:color="auto" w:fill="auto"/>
            <w:noWrap/>
            <w:vAlign w:val="center"/>
            <w:hideMark/>
          </w:tcPr>
          <w:p w:rsidR="008F715D" w:rsidRPr="006A418F" w:rsidRDefault="008F715D" w:rsidP="002105A0">
            <w:pPr>
              <w:rPr>
                <w:b/>
                <w:bCs/>
                <w:szCs w:val="20"/>
              </w:rPr>
            </w:pPr>
            <w:r w:rsidRPr="006A418F">
              <w:rPr>
                <w:b/>
                <w:bCs/>
                <w:sz w:val="22"/>
                <w:szCs w:val="20"/>
              </w:rPr>
              <w:t>Nombre d'abonnés total au Téléphone</w:t>
            </w:r>
          </w:p>
        </w:tc>
        <w:tc>
          <w:tcPr>
            <w:tcW w:w="1274"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b/>
                <w:bCs/>
                <w:szCs w:val="20"/>
              </w:rPr>
            </w:pPr>
            <w:r w:rsidRPr="006A418F">
              <w:rPr>
                <w:b/>
                <w:bCs/>
                <w:sz w:val="22"/>
                <w:szCs w:val="20"/>
              </w:rPr>
              <w:t>2 717,7</w:t>
            </w:r>
          </w:p>
        </w:tc>
        <w:tc>
          <w:tcPr>
            <w:tcW w:w="1274" w:type="dxa"/>
            <w:tcBorders>
              <w:top w:val="single" w:sz="12" w:space="0" w:color="0070C0"/>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b/>
                <w:bCs/>
                <w:szCs w:val="20"/>
              </w:rPr>
            </w:pPr>
            <w:r w:rsidRPr="006A418F">
              <w:rPr>
                <w:b/>
                <w:bCs/>
                <w:sz w:val="22"/>
                <w:szCs w:val="20"/>
              </w:rPr>
              <w:t>2 844,1</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b/>
                <w:bCs/>
                <w:szCs w:val="20"/>
              </w:rPr>
            </w:pPr>
            <w:r w:rsidRPr="006A418F">
              <w:rPr>
                <w:b/>
                <w:bCs/>
                <w:sz w:val="22"/>
                <w:szCs w:val="20"/>
              </w:rPr>
              <w:t>4,7%</w:t>
            </w:r>
          </w:p>
        </w:tc>
      </w:tr>
      <w:tr w:rsidR="008F715D" w:rsidRPr="006A418F" w:rsidTr="002105A0">
        <w:trPr>
          <w:trHeight w:val="345"/>
        </w:trPr>
        <w:tc>
          <w:tcPr>
            <w:tcW w:w="4840" w:type="dxa"/>
            <w:tcBorders>
              <w:top w:val="single" w:sz="12" w:space="0" w:color="0070C0"/>
              <w:left w:val="single" w:sz="12" w:space="0" w:color="0070C0"/>
              <w:bottom w:val="single" w:sz="12" w:space="0" w:color="0070C0"/>
              <w:right w:val="single" w:sz="12" w:space="0" w:color="0070C0"/>
            </w:tcBorders>
            <w:shd w:val="clear" w:color="auto" w:fill="auto"/>
            <w:noWrap/>
            <w:vAlign w:val="center"/>
            <w:hideMark/>
          </w:tcPr>
          <w:p w:rsidR="008F715D" w:rsidRPr="006A418F" w:rsidRDefault="008F715D" w:rsidP="002105A0">
            <w:pPr>
              <w:rPr>
                <w:color w:val="000000"/>
                <w:szCs w:val="20"/>
              </w:rPr>
            </w:pPr>
            <w:r w:rsidRPr="006A418F">
              <w:rPr>
                <w:color w:val="000000"/>
                <w:sz w:val="22"/>
                <w:szCs w:val="20"/>
              </w:rPr>
              <w:t>Nombre d'abonnées à l'Internet GSM (milliers)</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szCs w:val="20"/>
              </w:rPr>
            </w:pPr>
            <w:r w:rsidRPr="006A418F">
              <w:rPr>
                <w:sz w:val="22"/>
                <w:szCs w:val="20"/>
              </w:rPr>
              <w:t>418,9</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szCs w:val="20"/>
              </w:rPr>
            </w:pPr>
            <w:r w:rsidRPr="006A418F">
              <w:rPr>
                <w:sz w:val="22"/>
                <w:szCs w:val="20"/>
              </w:rPr>
              <w:t>394,0</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color w:val="FF0000"/>
                <w:szCs w:val="20"/>
              </w:rPr>
            </w:pPr>
            <w:r w:rsidRPr="006A418F">
              <w:rPr>
                <w:color w:val="FF0000"/>
                <w:sz w:val="22"/>
                <w:szCs w:val="20"/>
              </w:rPr>
              <w:t>-6,0%</w:t>
            </w:r>
          </w:p>
        </w:tc>
      </w:tr>
      <w:tr w:rsidR="008F715D" w:rsidRPr="006A418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6A418F" w:rsidRDefault="008F715D" w:rsidP="002105A0">
            <w:pPr>
              <w:rPr>
                <w:color w:val="000000"/>
                <w:szCs w:val="20"/>
              </w:rPr>
            </w:pPr>
            <w:r w:rsidRPr="006A418F">
              <w:rPr>
                <w:color w:val="000000"/>
                <w:sz w:val="22"/>
                <w:szCs w:val="20"/>
              </w:rPr>
              <w:t>Nombre d'abonnées à l'Internet haut débit (milliers)</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szCs w:val="20"/>
              </w:rPr>
            </w:pPr>
            <w:r w:rsidRPr="006A418F">
              <w:rPr>
                <w:sz w:val="22"/>
                <w:szCs w:val="20"/>
              </w:rPr>
              <w:t>10</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szCs w:val="20"/>
              </w:rPr>
            </w:pPr>
            <w:r w:rsidRPr="006A418F">
              <w:rPr>
                <w:sz w:val="22"/>
                <w:szCs w:val="20"/>
              </w:rPr>
              <w:t>13</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6A418F" w:rsidRDefault="008F715D" w:rsidP="002105A0">
            <w:pPr>
              <w:jc w:val="center"/>
              <w:rPr>
                <w:szCs w:val="20"/>
              </w:rPr>
            </w:pPr>
            <w:r w:rsidRPr="006A418F">
              <w:rPr>
                <w:sz w:val="22"/>
                <w:szCs w:val="20"/>
              </w:rPr>
              <w:t>24,0%</w:t>
            </w:r>
          </w:p>
        </w:tc>
      </w:tr>
    </w:tbl>
    <w:p w:rsidR="008F715D" w:rsidRPr="00885BFE" w:rsidRDefault="008F715D" w:rsidP="008F715D">
      <w:pPr>
        <w:jc w:val="both"/>
        <w:rPr>
          <w:b/>
          <w:bCs/>
          <w:i/>
          <w:iCs/>
          <w:sz w:val="16"/>
          <w:szCs w:val="16"/>
        </w:rPr>
      </w:pPr>
      <w:r w:rsidRPr="00885BFE">
        <w:rPr>
          <w:b/>
          <w:bCs/>
          <w:i/>
          <w:iCs/>
          <w:sz w:val="16"/>
          <w:szCs w:val="16"/>
        </w:rPr>
        <w:t>Source : Gabon-Télécom, AIRTEL Gabon, Moov Gabon et Azur Gabon</w:t>
      </w:r>
    </w:p>
    <w:p w:rsidR="008F715D" w:rsidRPr="00125AFA" w:rsidRDefault="008F715D" w:rsidP="008F715D">
      <w:pPr>
        <w:jc w:val="both"/>
        <w:rPr>
          <w:rFonts w:asciiTheme="majorBidi" w:hAnsiTheme="majorBidi" w:cstheme="majorBidi"/>
        </w:rPr>
      </w:pPr>
    </w:p>
    <w:p w:rsidR="008F715D" w:rsidRPr="00125AFA" w:rsidRDefault="008F715D" w:rsidP="008F715D">
      <w:pPr>
        <w:pStyle w:val="Titre2"/>
        <w:rPr>
          <w:rFonts w:asciiTheme="majorBidi" w:hAnsiTheme="majorBidi" w:cstheme="majorBidi"/>
          <w:b/>
          <w:bCs/>
          <w:i w:val="0"/>
          <w:color w:val="0000FF"/>
          <w:sz w:val="24"/>
        </w:rPr>
      </w:pPr>
      <w:bookmarkStart w:id="172" w:name="_Toc356891331"/>
      <w:bookmarkStart w:id="173" w:name="_Toc389653153"/>
      <w:bookmarkStart w:id="174" w:name="_Toc389653381"/>
      <w:bookmarkStart w:id="175" w:name="_Toc420027535"/>
      <w:bookmarkStart w:id="176" w:name="_Toc462990837"/>
      <w:r>
        <w:rPr>
          <w:rFonts w:asciiTheme="majorBidi" w:hAnsiTheme="majorBidi" w:cstheme="majorBidi"/>
          <w:b/>
          <w:bCs/>
          <w:i w:val="0"/>
          <w:color w:val="0000FF"/>
          <w:sz w:val="24"/>
        </w:rPr>
        <w:t>I</w:t>
      </w:r>
      <w:r w:rsidRPr="00125AFA">
        <w:rPr>
          <w:rFonts w:asciiTheme="majorBidi" w:hAnsiTheme="majorBidi" w:cstheme="majorBidi"/>
          <w:b/>
          <w:bCs/>
          <w:i w:val="0"/>
          <w:color w:val="0000FF"/>
          <w:sz w:val="24"/>
        </w:rPr>
        <w:t>I.1</w:t>
      </w:r>
      <w:r>
        <w:rPr>
          <w:rFonts w:asciiTheme="majorBidi" w:hAnsiTheme="majorBidi" w:cstheme="majorBidi"/>
          <w:b/>
          <w:bCs/>
          <w:i w:val="0"/>
          <w:color w:val="0000FF"/>
          <w:sz w:val="24"/>
        </w:rPr>
        <w:t>5</w:t>
      </w:r>
      <w:r w:rsidRPr="00125AFA">
        <w:rPr>
          <w:rFonts w:asciiTheme="majorBidi" w:hAnsiTheme="majorBidi" w:cstheme="majorBidi"/>
          <w:b/>
          <w:bCs/>
          <w:i w:val="0"/>
          <w:color w:val="0000FF"/>
          <w:sz w:val="24"/>
        </w:rPr>
        <w:t>.</w:t>
      </w:r>
      <w:r>
        <w:rPr>
          <w:rFonts w:asciiTheme="majorBidi" w:hAnsiTheme="majorBidi" w:cstheme="majorBidi"/>
          <w:b/>
          <w:bCs/>
          <w:i w:val="0"/>
          <w:color w:val="0000FF"/>
          <w:sz w:val="24"/>
        </w:rPr>
        <w:t xml:space="preserve"> </w:t>
      </w:r>
      <w:r w:rsidRPr="00125AFA">
        <w:rPr>
          <w:rFonts w:asciiTheme="majorBidi" w:hAnsiTheme="majorBidi" w:cstheme="majorBidi"/>
          <w:b/>
          <w:bCs/>
          <w:i w:val="0"/>
          <w:color w:val="0000FF"/>
          <w:sz w:val="24"/>
        </w:rPr>
        <w:t>LE COMMERCE</w:t>
      </w:r>
      <w:bookmarkEnd w:id="170"/>
      <w:bookmarkEnd w:id="171"/>
      <w:bookmarkEnd w:id="172"/>
      <w:bookmarkEnd w:id="173"/>
      <w:bookmarkEnd w:id="174"/>
      <w:bookmarkEnd w:id="175"/>
      <w:bookmarkEnd w:id="176"/>
    </w:p>
    <w:p w:rsidR="008F715D" w:rsidRPr="00125AFA" w:rsidRDefault="008F715D" w:rsidP="008F715D"/>
    <w:p w:rsidR="008F715D" w:rsidRPr="00125AFA" w:rsidRDefault="008F715D" w:rsidP="008F715D">
      <w:pPr>
        <w:pStyle w:val="Titre3"/>
        <w:ind w:firstLine="0"/>
        <w:rPr>
          <w:rFonts w:asciiTheme="majorBidi" w:hAnsiTheme="majorBidi" w:cstheme="majorBidi"/>
          <w:b/>
          <w:bCs/>
          <w:i/>
          <w:iCs/>
          <w:sz w:val="24"/>
        </w:rPr>
      </w:pPr>
      <w:bookmarkStart w:id="177" w:name="_Toc356891332"/>
      <w:bookmarkStart w:id="178" w:name="_Toc389653154"/>
      <w:bookmarkStart w:id="179" w:name="_Toc389653382"/>
      <w:bookmarkStart w:id="180" w:name="_Toc397691622"/>
      <w:bookmarkStart w:id="181" w:name="_Toc420027536"/>
      <w:bookmarkStart w:id="182" w:name="_Toc462990838"/>
      <w:r>
        <w:rPr>
          <w:rFonts w:asciiTheme="majorBidi" w:hAnsiTheme="majorBidi" w:cstheme="majorBidi"/>
          <w:b/>
          <w:bCs/>
          <w:i/>
          <w:iCs/>
          <w:color w:val="0000FF"/>
          <w:sz w:val="24"/>
        </w:rPr>
        <w:t>I</w:t>
      </w:r>
      <w:r w:rsidRPr="00125AFA">
        <w:rPr>
          <w:rFonts w:asciiTheme="majorBidi" w:hAnsiTheme="majorBidi" w:cstheme="majorBidi"/>
          <w:b/>
          <w:bCs/>
          <w:i/>
          <w:iCs/>
          <w:color w:val="0000FF"/>
          <w:sz w:val="24"/>
        </w:rPr>
        <w:t>I.1</w:t>
      </w:r>
      <w:r>
        <w:rPr>
          <w:rFonts w:asciiTheme="majorBidi" w:hAnsiTheme="majorBidi" w:cstheme="majorBidi"/>
          <w:b/>
          <w:bCs/>
          <w:i/>
          <w:iCs/>
          <w:color w:val="0000FF"/>
          <w:sz w:val="24"/>
        </w:rPr>
        <w:t>5</w:t>
      </w:r>
      <w:r w:rsidRPr="00125AFA">
        <w:rPr>
          <w:rFonts w:asciiTheme="majorBidi" w:hAnsiTheme="majorBidi" w:cstheme="majorBidi"/>
          <w:b/>
          <w:bCs/>
          <w:i/>
          <w:iCs/>
          <w:color w:val="0000FF"/>
          <w:sz w:val="24"/>
        </w:rPr>
        <w:t>.1. Le commerce général structuré</w:t>
      </w:r>
      <w:bookmarkEnd w:id="177"/>
      <w:bookmarkEnd w:id="178"/>
      <w:bookmarkEnd w:id="179"/>
      <w:bookmarkEnd w:id="180"/>
      <w:bookmarkEnd w:id="181"/>
      <w:bookmarkEnd w:id="182"/>
    </w:p>
    <w:p w:rsidR="008F715D" w:rsidRPr="00125AFA"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rPr>
      </w:pPr>
      <w:bookmarkStart w:id="183" w:name="_Toc63511816"/>
      <w:bookmarkStart w:id="184" w:name="_Toc77665765"/>
      <w:bookmarkStart w:id="185" w:name="_Toc356891333"/>
      <w:bookmarkStart w:id="186" w:name="_Toc389653155"/>
      <w:bookmarkStart w:id="187" w:name="_Toc389653383"/>
      <w:bookmarkStart w:id="188" w:name="_Toc397691624"/>
      <w:r>
        <w:rPr>
          <w:rFonts w:asciiTheme="majorBidi" w:hAnsiTheme="majorBidi" w:cstheme="majorBidi"/>
        </w:rPr>
        <w:t xml:space="preserve">Les six premiers mois de l’année 2016 se sont soldés par la poursuite des contre-performances de la branche </w:t>
      </w:r>
      <w:r w:rsidRPr="00D666D0">
        <w:rPr>
          <w:rFonts w:asciiTheme="majorBidi" w:hAnsiTheme="majorBidi" w:cstheme="majorBidi"/>
        </w:rPr>
        <w:t xml:space="preserve">du commerce général structuré </w:t>
      </w:r>
      <w:r>
        <w:rPr>
          <w:rFonts w:asciiTheme="majorBidi" w:hAnsiTheme="majorBidi" w:cstheme="majorBidi"/>
        </w:rPr>
        <w:t>dont le</w:t>
      </w:r>
      <w:r w:rsidRPr="00D666D0">
        <w:rPr>
          <w:rFonts w:asciiTheme="majorBidi" w:hAnsiTheme="majorBidi" w:cstheme="majorBidi"/>
        </w:rPr>
        <w:t xml:space="preserve"> chiffre d’affaires </w:t>
      </w:r>
      <w:r>
        <w:rPr>
          <w:rFonts w:asciiTheme="majorBidi" w:hAnsiTheme="majorBidi" w:cstheme="majorBidi"/>
        </w:rPr>
        <w:t xml:space="preserve">a régressé de 11,3% à 196,8 milliards de FCFA. </w:t>
      </w:r>
      <w:r w:rsidRPr="00A90DE3">
        <w:rPr>
          <w:rFonts w:asciiTheme="majorBidi" w:hAnsiTheme="majorBidi" w:cstheme="majorBidi"/>
        </w:rPr>
        <w:t xml:space="preserve">Cette situation est </w:t>
      </w:r>
      <w:r>
        <w:rPr>
          <w:rFonts w:asciiTheme="majorBidi" w:hAnsiTheme="majorBidi" w:cstheme="majorBidi"/>
        </w:rPr>
        <w:t xml:space="preserve">expliquée par la faiblesse de la demande </w:t>
      </w:r>
      <w:r w:rsidRPr="004B14A6">
        <w:rPr>
          <w:rFonts w:asciiTheme="majorBidi" w:hAnsiTheme="majorBidi" w:cstheme="majorBidi"/>
        </w:rPr>
        <w:t>publique et des ménages</w:t>
      </w:r>
      <w:r>
        <w:rPr>
          <w:rFonts w:asciiTheme="majorBidi" w:hAnsiTheme="majorBidi" w:cstheme="majorBidi"/>
        </w:rPr>
        <w:t>,</w:t>
      </w:r>
      <w:r w:rsidRPr="004B14A6">
        <w:rPr>
          <w:rFonts w:asciiTheme="majorBidi" w:hAnsiTheme="majorBidi" w:cstheme="majorBidi"/>
        </w:rPr>
        <w:t xml:space="preserve"> suite à la baisse d’activité et aux pertes de postes enregistrées dans plusieurs secteurs de l’économie nationale, not</w:t>
      </w:r>
      <w:r>
        <w:rPr>
          <w:rFonts w:asciiTheme="majorBidi" w:hAnsiTheme="majorBidi" w:cstheme="majorBidi"/>
        </w:rPr>
        <w:t>amment le secteur pétrolier et l</w:t>
      </w:r>
      <w:r w:rsidRPr="004B14A6">
        <w:rPr>
          <w:rFonts w:asciiTheme="majorBidi" w:hAnsiTheme="majorBidi" w:cstheme="majorBidi"/>
        </w:rPr>
        <w:t>es BTP.</w:t>
      </w:r>
    </w:p>
    <w:p w:rsidR="008F715D" w:rsidRDefault="008F715D" w:rsidP="008F715D">
      <w:pPr>
        <w:rPr>
          <w:rFonts w:asciiTheme="majorBidi" w:hAnsiTheme="majorBidi" w:cstheme="majorBidi"/>
          <w:color w:val="000000"/>
        </w:rPr>
      </w:pPr>
    </w:p>
    <w:p w:rsidR="008F715D" w:rsidRPr="00D00395" w:rsidRDefault="008F715D" w:rsidP="008F715D">
      <w:pPr>
        <w:rPr>
          <w:rFonts w:asciiTheme="majorBidi" w:hAnsiTheme="majorBidi" w:cstheme="majorBidi"/>
          <w:b/>
          <w:i/>
          <w:color w:val="000000"/>
        </w:rPr>
      </w:pPr>
      <w:r w:rsidRPr="00D00395">
        <w:rPr>
          <w:rFonts w:asciiTheme="majorBidi" w:hAnsiTheme="majorBidi" w:cstheme="majorBidi"/>
          <w:b/>
          <w:i/>
          <w:color w:val="000000"/>
        </w:rPr>
        <w:t>Evolution du commerce structuré</w:t>
      </w:r>
    </w:p>
    <w:tbl>
      <w:tblPr>
        <w:tblW w:w="8804" w:type="dxa"/>
        <w:tblInd w:w="55" w:type="dxa"/>
        <w:tblLayout w:type="fixed"/>
        <w:tblCellMar>
          <w:left w:w="70" w:type="dxa"/>
          <w:right w:w="70" w:type="dxa"/>
        </w:tblCellMar>
        <w:tblLook w:val="04A0"/>
      </w:tblPr>
      <w:tblGrid>
        <w:gridCol w:w="4840"/>
        <w:gridCol w:w="1321"/>
        <w:gridCol w:w="1321"/>
        <w:gridCol w:w="1322"/>
      </w:tblGrid>
      <w:tr w:rsidR="008F715D" w:rsidRPr="00D00395" w:rsidTr="002105A0">
        <w:trPr>
          <w:trHeight w:val="260"/>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D00395" w:rsidRDefault="008F715D" w:rsidP="002105A0">
            <w:pPr>
              <w:rPr>
                <w:color w:val="000000"/>
              </w:rPr>
            </w:pPr>
            <w:r w:rsidRPr="00D00395">
              <w:rPr>
                <w:color w:val="000000"/>
                <w:szCs w:val="22"/>
              </w:rPr>
              <w:t> </w:t>
            </w:r>
          </w:p>
        </w:tc>
        <w:tc>
          <w:tcPr>
            <w:tcW w:w="3964"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D00395" w:rsidRDefault="008F715D" w:rsidP="002105A0">
            <w:pPr>
              <w:jc w:val="center"/>
              <w:rPr>
                <w:color w:val="000000"/>
              </w:rPr>
            </w:pPr>
            <w:r w:rsidRPr="00D00395">
              <w:rPr>
                <w:color w:val="000000"/>
                <w:szCs w:val="22"/>
              </w:rPr>
              <w:t>Premier semestre</w:t>
            </w:r>
          </w:p>
        </w:tc>
      </w:tr>
      <w:tr w:rsidR="008F715D" w:rsidRPr="00D00395"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00395" w:rsidRDefault="008F715D" w:rsidP="002105A0">
            <w:pPr>
              <w:rPr>
                <w:color w:val="000000"/>
              </w:rPr>
            </w:pPr>
            <w:r w:rsidRPr="00D00395">
              <w:rPr>
                <w:color w:val="000000"/>
                <w:szCs w:val="22"/>
              </w:rPr>
              <w:t> </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D00395" w:rsidRDefault="008F715D" w:rsidP="002105A0">
            <w:pPr>
              <w:jc w:val="center"/>
              <w:rPr>
                <w:color w:val="000000"/>
              </w:rPr>
            </w:pPr>
            <w:r w:rsidRPr="00D00395">
              <w:rPr>
                <w:color w:val="000000"/>
                <w:szCs w:val="22"/>
              </w:rPr>
              <w:t>2015</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D00395" w:rsidRDefault="008F715D" w:rsidP="002105A0">
            <w:pPr>
              <w:jc w:val="center"/>
              <w:rPr>
                <w:color w:val="000000"/>
              </w:rPr>
            </w:pPr>
            <w:r w:rsidRPr="00D00395">
              <w:rPr>
                <w:color w:val="000000"/>
                <w:szCs w:val="22"/>
              </w:rPr>
              <w:t>2016</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D00395" w:rsidRDefault="008F715D" w:rsidP="002105A0">
            <w:pPr>
              <w:jc w:val="center"/>
            </w:pPr>
            <w:r w:rsidRPr="00D00395">
              <w:rPr>
                <w:szCs w:val="22"/>
              </w:rPr>
              <w:t>Var 16/15</w:t>
            </w:r>
          </w:p>
        </w:tc>
      </w:tr>
      <w:tr w:rsidR="008F715D" w:rsidRPr="00D00395"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00395" w:rsidRDefault="008F715D" w:rsidP="002105A0">
            <w:pPr>
              <w:rPr>
                <w:color w:val="000000"/>
              </w:rPr>
            </w:pPr>
            <w:r w:rsidRPr="00D00395">
              <w:rPr>
                <w:color w:val="000000"/>
                <w:szCs w:val="22"/>
              </w:rPr>
              <w:t>Chiffre d’affaires (en milliards de FCFA)</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D00395" w:rsidRDefault="008F715D" w:rsidP="002105A0">
            <w:pPr>
              <w:jc w:val="center"/>
              <w:rPr>
                <w:color w:val="000000"/>
              </w:rPr>
            </w:pPr>
            <w:r w:rsidRPr="00D00395">
              <w:rPr>
                <w:color w:val="000000"/>
                <w:szCs w:val="22"/>
              </w:rPr>
              <w:t>221,</w:t>
            </w:r>
            <w:r>
              <w:rPr>
                <w:color w:val="000000"/>
                <w:szCs w:val="22"/>
              </w:rPr>
              <w:t>9</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D00395" w:rsidRDefault="008F715D" w:rsidP="002105A0">
            <w:pPr>
              <w:jc w:val="center"/>
              <w:rPr>
                <w:color w:val="000000"/>
              </w:rPr>
            </w:pPr>
            <w:r w:rsidRPr="00D00395">
              <w:rPr>
                <w:color w:val="000000"/>
                <w:szCs w:val="22"/>
              </w:rPr>
              <w:t>196,8</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D00395" w:rsidRDefault="008F715D" w:rsidP="002105A0">
            <w:pPr>
              <w:jc w:val="center"/>
              <w:rPr>
                <w:color w:val="FF0000"/>
              </w:rPr>
            </w:pPr>
            <w:r w:rsidRPr="00D00395">
              <w:rPr>
                <w:color w:val="FF0000"/>
                <w:szCs w:val="22"/>
              </w:rPr>
              <w:t>-11,3%</w:t>
            </w:r>
          </w:p>
        </w:tc>
      </w:tr>
    </w:tbl>
    <w:p w:rsidR="008F715D" w:rsidRPr="00D00395" w:rsidRDefault="008F715D" w:rsidP="008F715D">
      <w:pPr>
        <w:rPr>
          <w:rFonts w:asciiTheme="majorBidi" w:hAnsiTheme="majorBidi" w:cstheme="majorBidi"/>
          <w:b/>
          <w:i/>
          <w:color w:val="000000"/>
          <w:sz w:val="16"/>
          <w:szCs w:val="16"/>
        </w:rPr>
      </w:pPr>
      <w:r w:rsidRPr="00D00395">
        <w:rPr>
          <w:rFonts w:asciiTheme="majorBidi" w:hAnsiTheme="majorBidi" w:cstheme="majorBidi"/>
          <w:b/>
          <w:i/>
          <w:color w:val="000000"/>
          <w:sz w:val="16"/>
          <w:szCs w:val="16"/>
        </w:rPr>
        <w:t>Sources : Ceca-Gadis, Gabon Méca, Nestlé-Gabon, SAN, Mbolo, Bernabé Gabon, Bati PLUS, Sipagel, Centre Affaires</w:t>
      </w:r>
    </w:p>
    <w:p w:rsidR="008F715D" w:rsidRPr="00D666D0" w:rsidRDefault="008F715D" w:rsidP="008F715D">
      <w:pPr>
        <w:jc w:val="both"/>
        <w:rPr>
          <w:rFonts w:asciiTheme="majorBidi" w:hAnsiTheme="majorBidi" w:cstheme="majorBidi"/>
        </w:rPr>
      </w:pPr>
    </w:p>
    <w:p w:rsidR="008F715D" w:rsidRPr="00125AFA" w:rsidRDefault="008F715D" w:rsidP="008F715D">
      <w:pPr>
        <w:pStyle w:val="Titre3"/>
        <w:ind w:firstLine="0"/>
        <w:rPr>
          <w:rFonts w:asciiTheme="majorBidi" w:hAnsiTheme="majorBidi" w:cstheme="majorBidi"/>
          <w:b/>
          <w:bCs/>
          <w:i/>
          <w:iCs/>
          <w:color w:val="0000FF"/>
          <w:sz w:val="24"/>
        </w:rPr>
      </w:pPr>
      <w:bookmarkStart w:id="189" w:name="_Toc420027537"/>
      <w:bookmarkStart w:id="190" w:name="_Toc462990839"/>
      <w:r>
        <w:rPr>
          <w:rFonts w:asciiTheme="majorBidi" w:hAnsiTheme="majorBidi" w:cstheme="majorBidi"/>
          <w:b/>
          <w:bCs/>
          <w:i/>
          <w:iCs/>
          <w:color w:val="0000FF"/>
          <w:sz w:val="24"/>
        </w:rPr>
        <w:t>II</w:t>
      </w:r>
      <w:r w:rsidRPr="00125AFA">
        <w:rPr>
          <w:rFonts w:asciiTheme="majorBidi" w:hAnsiTheme="majorBidi" w:cstheme="majorBidi"/>
          <w:b/>
          <w:bCs/>
          <w:i/>
          <w:iCs/>
          <w:color w:val="0000FF"/>
          <w:sz w:val="24"/>
        </w:rPr>
        <w:t>.1</w:t>
      </w:r>
      <w:r>
        <w:rPr>
          <w:rFonts w:asciiTheme="majorBidi" w:hAnsiTheme="majorBidi" w:cstheme="majorBidi"/>
          <w:b/>
          <w:bCs/>
          <w:i/>
          <w:iCs/>
          <w:color w:val="0000FF"/>
          <w:sz w:val="24"/>
        </w:rPr>
        <w:t>5</w:t>
      </w:r>
      <w:r w:rsidRPr="00125AFA">
        <w:rPr>
          <w:rFonts w:asciiTheme="majorBidi" w:hAnsiTheme="majorBidi" w:cstheme="majorBidi"/>
          <w:b/>
          <w:bCs/>
          <w:i/>
          <w:iCs/>
          <w:color w:val="0000FF"/>
          <w:sz w:val="24"/>
        </w:rPr>
        <w:t>.2. Le commerce des véhicules</w:t>
      </w:r>
      <w:bookmarkEnd w:id="183"/>
      <w:bookmarkEnd w:id="184"/>
      <w:bookmarkEnd w:id="185"/>
      <w:bookmarkEnd w:id="186"/>
      <w:bookmarkEnd w:id="187"/>
      <w:bookmarkEnd w:id="188"/>
      <w:r w:rsidRPr="00125AFA">
        <w:rPr>
          <w:rFonts w:asciiTheme="majorBidi" w:hAnsiTheme="majorBidi" w:cstheme="majorBidi"/>
          <w:b/>
          <w:bCs/>
          <w:i/>
          <w:iCs/>
          <w:color w:val="0000FF"/>
          <w:sz w:val="24"/>
        </w:rPr>
        <w:t xml:space="preserve"> neufs</w:t>
      </w:r>
      <w:bookmarkEnd w:id="189"/>
      <w:bookmarkEnd w:id="190"/>
    </w:p>
    <w:p w:rsidR="008F715D" w:rsidRPr="00125AFA" w:rsidRDefault="008F715D" w:rsidP="008F715D">
      <w:pPr>
        <w:jc w:val="both"/>
        <w:rPr>
          <w:rFonts w:asciiTheme="majorBidi" w:hAnsiTheme="majorBidi" w:cstheme="majorBidi"/>
        </w:rPr>
      </w:pPr>
    </w:p>
    <w:p w:rsidR="008F715D" w:rsidRPr="00125AFA" w:rsidRDefault="008F715D" w:rsidP="008F715D">
      <w:pPr>
        <w:pStyle w:val="Paragraphedeliste"/>
        <w:numPr>
          <w:ilvl w:val="0"/>
          <w:numId w:val="2"/>
        </w:numPr>
        <w:spacing w:after="0" w:line="240" w:lineRule="auto"/>
        <w:jc w:val="both"/>
        <w:rPr>
          <w:rFonts w:asciiTheme="majorBidi" w:eastAsia="Times New Roman" w:hAnsiTheme="majorBidi" w:cstheme="majorBidi"/>
          <w:b/>
          <w:bCs/>
          <w:i/>
          <w:iCs/>
          <w:color w:val="0000FF"/>
          <w:sz w:val="24"/>
          <w:szCs w:val="24"/>
          <w:lang w:eastAsia="fr-FR"/>
        </w:rPr>
      </w:pPr>
      <w:bookmarkStart w:id="191" w:name="_Toc389653156"/>
      <w:bookmarkStart w:id="192" w:name="_Toc389653384"/>
      <w:r w:rsidRPr="00125AFA">
        <w:rPr>
          <w:rFonts w:asciiTheme="majorBidi" w:eastAsia="Times New Roman" w:hAnsiTheme="majorBidi" w:cstheme="majorBidi"/>
          <w:b/>
          <w:bCs/>
          <w:i/>
          <w:iCs/>
          <w:color w:val="0000FF"/>
          <w:sz w:val="24"/>
          <w:szCs w:val="24"/>
          <w:lang w:eastAsia="fr-FR"/>
        </w:rPr>
        <w:t>Véhicules utilitaires</w:t>
      </w:r>
      <w:bookmarkEnd w:id="191"/>
      <w:bookmarkEnd w:id="192"/>
    </w:p>
    <w:p w:rsidR="008F715D" w:rsidRPr="00125AFA" w:rsidRDefault="008F715D" w:rsidP="008F715D">
      <w:pPr>
        <w:jc w:val="both"/>
        <w:rPr>
          <w:rFonts w:asciiTheme="majorBidi" w:hAnsiTheme="majorBidi" w:cstheme="majorBidi"/>
          <w:bCs/>
          <w:color w:val="000000"/>
        </w:rPr>
      </w:pPr>
    </w:p>
    <w:p w:rsidR="008F715D" w:rsidRDefault="008F715D" w:rsidP="008F715D">
      <w:pPr>
        <w:contextualSpacing/>
        <w:jc w:val="both"/>
        <w:rPr>
          <w:rFonts w:asciiTheme="majorBidi" w:hAnsiTheme="majorBidi" w:cstheme="majorBidi"/>
        </w:rPr>
      </w:pPr>
      <w:r w:rsidRPr="0006687C">
        <w:rPr>
          <w:rFonts w:asciiTheme="majorBidi" w:hAnsiTheme="majorBidi" w:cstheme="majorBidi"/>
        </w:rPr>
        <w:t>La baisse observée en déb</w:t>
      </w:r>
      <w:r>
        <w:rPr>
          <w:rFonts w:asciiTheme="majorBidi" w:hAnsiTheme="majorBidi" w:cstheme="majorBidi"/>
        </w:rPr>
        <w:t>ut d’année dans le commerce des véhicules utilitaires neufs s’est confirmée à fin</w:t>
      </w:r>
      <w:r w:rsidRPr="0006687C">
        <w:rPr>
          <w:rFonts w:asciiTheme="majorBidi" w:hAnsiTheme="majorBidi" w:cstheme="majorBidi"/>
        </w:rPr>
        <w:t xml:space="preserve"> juin. </w:t>
      </w:r>
      <w:r>
        <w:rPr>
          <w:rFonts w:asciiTheme="majorBidi" w:hAnsiTheme="majorBidi" w:cstheme="majorBidi"/>
        </w:rPr>
        <w:t xml:space="preserve">Ainsi, le nombre de véhicules vendus est passé à 1 694 unités, soit un repli de 13,8%, occasionné par la contraction des </w:t>
      </w:r>
      <w:r w:rsidRPr="00322026">
        <w:rPr>
          <w:rFonts w:asciiTheme="majorBidi" w:hAnsiTheme="majorBidi" w:cstheme="majorBidi"/>
        </w:rPr>
        <w:t>commandes des principaux clients (Etat et sociétés privées).</w:t>
      </w:r>
    </w:p>
    <w:p w:rsidR="008F715D" w:rsidRPr="00397271" w:rsidRDefault="008F715D" w:rsidP="008F715D">
      <w:pPr>
        <w:contextualSpacing/>
        <w:jc w:val="both"/>
        <w:rPr>
          <w:rFonts w:asciiTheme="majorBidi" w:hAnsiTheme="majorBidi" w:cstheme="majorBidi"/>
        </w:rPr>
      </w:pPr>
    </w:p>
    <w:p w:rsidR="008F715D" w:rsidRDefault="008F715D" w:rsidP="008F715D">
      <w:pPr>
        <w:contextualSpacing/>
        <w:jc w:val="both"/>
        <w:rPr>
          <w:rFonts w:asciiTheme="majorBidi" w:hAnsiTheme="majorBidi" w:cstheme="majorBidi"/>
          <w:b/>
          <w:bCs/>
          <w:i/>
          <w:iCs/>
        </w:rPr>
      </w:pPr>
      <w:r w:rsidRPr="00CD3634">
        <w:rPr>
          <w:rFonts w:asciiTheme="majorBidi" w:hAnsiTheme="majorBidi" w:cstheme="majorBidi"/>
          <w:b/>
          <w:bCs/>
          <w:i/>
          <w:iCs/>
        </w:rPr>
        <w:t>Evolution d</w:t>
      </w:r>
      <w:r>
        <w:rPr>
          <w:rFonts w:asciiTheme="majorBidi" w:hAnsiTheme="majorBidi" w:cstheme="majorBidi"/>
          <w:b/>
          <w:bCs/>
          <w:i/>
          <w:iCs/>
        </w:rPr>
        <w:t>u commerce des véhicules utilitaires neufs</w:t>
      </w:r>
    </w:p>
    <w:tbl>
      <w:tblPr>
        <w:tblW w:w="8804" w:type="dxa"/>
        <w:tblInd w:w="55" w:type="dxa"/>
        <w:tblLayout w:type="fixed"/>
        <w:tblCellMar>
          <w:left w:w="70" w:type="dxa"/>
          <w:right w:w="70" w:type="dxa"/>
        </w:tblCellMar>
        <w:tblLook w:val="04A0"/>
      </w:tblPr>
      <w:tblGrid>
        <w:gridCol w:w="4840"/>
        <w:gridCol w:w="1321"/>
        <w:gridCol w:w="1321"/>
        <w:gridCol w:w="1322"/>
      </w:tblGrid>
      <w:tr w:rsidR="008F715D" w:rsidRPr="00397271"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397271" w:rsidRDefault="008F715D" w:rsidP="002105A0">
            <w:pPr>
              <w:rPr>
                <w:color w:val="000000"/>
                <w:szCs w:val="20"/>
              </w:rPr>
            </w:pPr>
            <w:r w:rsidRPr="00397271">
              <w:rPr>
                <w:color w:val="000000"/>
                <w:sz w:val="22"/>
                <w:szCs w:val="20"/>
              </w:rPr>
              <w:lastRenderedPageBreak/>
              <w:t> </w:t>
            </w:r>
          </w:p>
        </w:tc>
        <w:tc>
          <w:tcPr>
            <w:tcW w:w="3964"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397271" w:rsidRDefault="008F715D" w:rsidP="002105A0">
            <w:pPr>
              <w:jc w:val="center"/>
              <w:rPr>
                <w:color w:val="000000"/>
                <w:szCs w:val="20"/>
              </w:rPr>
            </w:pPr>
            <w:r w:rsidRPr="00397271">
              <w:rPr>
                <w:color w:val="000000"/>
                <w:sz w:val="22"/>
                <w:szCs w:val="20"/>
              </w:rPr>
              <w:t>Premier semestre</w:t>
            </w:r>
          </w:p>
        </w:tc>
      </w:tr>
      <w:tr w:rsidR="008F715D" w:rsidRPr="00397271"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97271" w:rsidRDefault="008F715D" w:rsidP="002105A0">
            <w:pPr>
              <w:rPr>
                <w:color w:val="000000"/>
                <w:szCs w:val="20"/>
              </w:rPr>
            </w:pPr>
            <w:r w:rsidRPr="00397271">
              <w:rPr>
                <w:color w:val="000000"/>
                <w:sz w:val="22"/>
                <w:szCs w:val="20"/>
              </w:rPr>
              <w:t> </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397271" w:rsidRDefault="008F715D" w:rsidP="002105A0">
            <w:pPr>
              <w:jc w:val="center"/>
              <w:rPr>
                <w:color w:val="000000"/>
                <w:szCs w:val="20"/>
              </w:rPr>
            </w:pPr>
            <w:r w:rsidRPr="00397271">
              <w:rPr>
                <w:color w:val="000000"/>
                <w:sz w:val="22"/>
                <w:szCs w:val="20"/>
              </w:rPr>
              <w:t>2015</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397271" w:rsidRDefault="008F715D" w:rsidP="002105A0">
            <w:pPr>
              <w:jc w:val="center"/>
              <w:rPr>
                <w:color w:val="000000"/>
                <w:szCs w:val="20"/>
              </w:rPr>
            </w:pPr>
            <w:r w:rsidRPr="00397271">
              <w:rPr>
                <w:color w:val="000000"/>
                <w:sz w:val="22"/>
                <w:szCs w:val="20"/>
              </w:rPr>
              <w:t>2016</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397271" w:rsidRDefault="008F715D" w:rsidP="002105A0">
            <w:pPr>
              <w:jc w:val="center"/>
              <w:rPr>
                <w:szCs w:val="20"/>
              </w:rPr>
            </w:pPr>
            <w:r w:rsidRPr="00397271">
              <w:rPr>
                <w:sz w:val="22"/>
                <w:szCs w:val="20"/>
              </w:rPr>
              <w:t>Var 16/15</w:t>
            </w:r>
          </w:p>
        </w:tc>
      </w:tr>
      <w:tr w:rsidR="008F715D" w:rsidRPr="00397271"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97271" w:rsidRDefault="008F715D" w:rsidP="002105A0">
            <w:pPr>
              <w:rPr>
                <w:color w:val="000000"/>
                <w:szCs w:val="20"/>
              </w:rPr>
            </w:pPr>
            <w:r w:rsidRPr="00397271">
              <w:rPr>
                <w:color w:val="000000"/>
                <w:sz w:val="22"/>
                <w:szCs w:val="20"/>
              </w:rPr>
              <w:t>Nombre de véhicules vendus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397271" w:rsidRDefault="008F715D" w:rsidP="002105A0">
            <w:pPr>
              <w:jc w:val="center"/>
              <w:rPr>
                <w:szCs w:val="20"/>
              </w:rPr>
            </w:pPr>
            <w:r w:rsidRPr="00397271">
              <w:rPr>
                <w:sz w:val="22"/>
                <w:szCs w:val="20"/>
              </w:rPr>
              <w:t>1 965</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397271" w:rsidRDefault="008F715D" w:rsidP="002105A0">
            <w:pPr>
              <w:jc w:val="center"/>
              <w:rPr>
                <w:szCs w:val="20"/>
              </w:rPr>
            </w:pPr>
            <w:r w:rsidRPr="00397271">
              <w:rPr>
                <w:sz w:val="22"/>
                <w:szCs w:val="20"/>
              </w:rPr>
              <w:t>1 694</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397271" w:rsidRDefault="008F715D" w:rsidP="002105A0">
            <w:pPr>
              <w:jc w:val="center"/>
              <w:rPr>
                <w:color w:val="FF0000"/>
                <w:szCs w:val="20"/>
              </w:rPr>
            </w:pPr>
            <w:r w:rsidRPr="00397271">
              <w:rPr>
                <w:color w:val="FF0000"/>
                <w:sz w:val="22"/>
                <w:szCs w:val="20"/>
              </w:rPr>
              <w:t>-13,8%</w:t>
            </w:r>
          </w:p>
        </w:tc>
      </w:tr>
    </w:tbl>
    <w:p w:rsidR="008F715D" w:rsidRPr="00125AFA" w:rsidRDefault="008F715D" w:rsidP="008F715D">
      <w:pPr>
        <w:jc w:val="both"/>
        <w:rPr>
          <w:rFonts w:asciiTheme="majorBidi" w:hAnsiTheme="majorBidi" w:cstheme="majorBidi"/>
          <w:b/>
          <w:i/>
          <w:sz w:val="16"/>
          <w:szCs w:val="16"/>
        </w:rPr>
      </w:pPr>
      <w:r w:rsidRPr="00125AFA">
        <w:rPr>
          <w:rFonts w:asciiTheme="majorBidi" w:hAnsiTheme="majorBidi" w:cstheme="majorBidi"/>
          <w:b/>
          <w:i/>
          <w:sz w:val="16"/>
          <w:szCs w:val="16"/>
        </w:rPr>
        <w:t>Source : URAI</w:t>
      </w:r>
      <w:r>
        <w:rPr>
          <w:rFonts w:asciiTheme="majorBidi" w:hAnsiTheme="majorBidi" w:cstheme="majorBidi"/>
          <w:b/>
          <w:i/>
          <w:sz w:val="16"/>
          <w:szCs w:val="16"/>
        </w:rPr>
        <w:t xml:space="preserve"> (U</w:t>
      </w:r>
      <w:r w:rsidRPr="003B73E1">
        <w:rPr>
          <w:rFonts w:asciiTheme="majorBidi" w:hAnsiTheme="majorBidi" w:cstheme="majorBidi"/>
          <w:b/>
          <w:i/>
          <w:sz w:val="16"/>
          <w:szCs w:val="16"/>
        </w:rPr>
        <w:t>nion des représentants des automobiles industriels) (union des représentants des automobiles industriels)</w:t>
      </w:r>
    </w:p>
    <w:p w:rsidR="008F715D" w:rsidRPr="00125AFA" w:rsidRDefault="008F715D" w:rsidP="008F715D">
      <w:pPr>
        <w:jc w:val="both"/>
        <w:rPr>
          <w:rFonts w:asciiTheme="majorBidi" w:hAnsiTheme="majorBidi" w:cstheme="majorBidi"/>
        </w:rPr>
      </w:pPr>
    </w:p>
    <w:p w:rsidR="008F715D" w:rsidRPr="00125AFA" w:rsidRDefault="008F715D" w:rsidP="008F715D">
      <w:pPr>
        <w:pStyle w:val="Paragraphedeliste"/>
        <w:numPr>
          <w:ilvl w:val="0"/>
          <w:numId w:val="2"/>
        </w:numPr>
        <w:spacing w:after="0" w:line="240" w:lineRule="auto"/>
        <w:jc w:val="both"/>
        <w:rPr>
          <w:rFonts w:asciiTheme="majorBidi" w:eastAsia="Times New Roman" w:hAnsiTheme="majorBidi" w:cstheme="majorBidi"/>
          <w:b/>
          <w:bCs/>
          <w:i/>
          <w:iCs/>
          <w:color w:val="0000FF"/>
          <w:sz w:val="24"/>
          <w:szCs w:val="24"/>
          <w:lang w:eastAsia="fr-FR"/>
        </w:rPr>
      </w:pPr>
      <w:bookmarkStart w:id="193" w:name="_Toc389653157"/>
      <w:bookmarkStart w:id="194" w:name="_Toc389653385"/>
      <w:r w:rsidRPr="00125AFA">
        <w:rPr>
          <w:rFonts w:asciiTheme="majorBidi" w:eastAsia="Times New Roman" w:hAnsiTheme="majorBidi" w:cstheme="majorBidi"/>
          <w:b/>
          <w:bCs/>
          <w:i/>
          <w:iCs/>
          <w:color w:val="0000FF"/>
          <w:sz w:val="24"/>
          <w:szCs w:val="24"/>
          <w:lang w:eastAsia="fr-FR"/>
        </w:rPr>
        <w:t>Véhicules industriels</w:t>
      </w:r>
      <w:bookmarkEnd w:id="193"/>
      <w:bookmarkEnd w:id="194"/>
    </w:p>
    <w:p w:rsidR="008F715D" w:rsidRPr="00125AFA" w:rsidRDefault="008F715D" w:rsidP="008F715D">
      <w:pPr>
        <w:jc w:val="both"/>
        <w:rPr>
          <w:rFonts w:asciiTheme="majorBidi" w:hAnsiTheme="majorBidi" w:cstheme="majorBidi"/>
          <w:bCs/>
          <w:color w:val="000000"/>
        </w:rPr>
      </w:pPr>
    </w:p>
    <w:p w:rsidR="008F715D" w:rsidRDefault="008F715D" w:rsidP="008F715D">
      <w:pPr>
        <w:jc w:val="both"/>
        <w:rPr>
          <w:rFonts w:asciiTheme="majorBidi" w:hAnsiTheme="majorBidi" w:cstheme="majorBidi"/>
        </w:rPr>
      </w:pPr>
      <w:r w:rsidRPr="00B37498">
        <w:rPr>
          <w:rFonts w:asciiTheme="majorBidi" w:hAnsiTheme="majorBidi" w:cstheme="majorBidi"/>
        </w:rPr>
        <w:t>A fin juin 2016, le commerce des véhicules industriels est caractérisé par une amélioration de l’activité avec un chiffre d’affaires qui s’est accru de 5,4% pour un montant de 11,2 milliards de FCFA, attribuable à la nouvelle stratégie de reconquête du marché mise en place par la société</w:t>
      </w:r>
      <w:r>
        <w:rPr>
          <w:rFonts w:asciiTheme="majorBidi" w:hAnsiTheme="majorBidi" w:cstheme="majorBidi"/>
        </w:rPr>
        <w:t xml:space="preserve"> Tractafric</w:t>
      </w:r>
      <w:r w:rsidRPr="00B37498">
        <w:rPr>
          <w:rFonts w:asciiTheme="majorBidi" w:hAnsiTheme="majorBidi" w:cstheme="majorBidi"/>
        </w:rPr>
        <w:t>.</w:t>
      </w:r>
    </w:p>
    <w:p w:rsidR="008F715D" w:rsidRPr="0006687C" w:rsidRDefault="008F715D" w:rsidP="008F715D">
      <w:pPr>
        <w:jc w:val="both"/>
        <w:rPr>
          <w:rFonts w:asciiTheme="majorBidi" w:hAnsiTheme="majorBidi" w:cstheme="majorBidi"/>
        </w:rPr>
      </w:pPr>
    </w:p>
    <w:p w:rsidR="008F715D" w:rsidRDefault="008F715D" w:rsidP="008F715D">
      <w:pPr>
        <w:contextualSpacing/>
        <w:rPr>
          <w:rFonts w:asciiTheme="majorBidi" w:hAnsiTheme="majorBidi" w:cstheme="majorBidi"/>
          <w:b/>
          <w:bCs/>
          <w:i/>
          <w:iCs/>
        </w:rPr>
      </w:pPr>
      <w:r w:rsidRPr="00CD3634">
        <w:rPr>
          <w:rFonts w:asciiTheme="majorBidi" w:hAnsiTheme="majorBidi" w:cstheme="majorBidi"/>
          <w:b/>
          <w:bCs/>
          <w:i/>
          <w:iCs/>
        </w:rPr>
        <w:t>Evolution du comm</w:t>
      </w:r>
      <w:r>
        <w:rPr>
          <w:rFonts w:asciiTheme="majorBidi" w:hAnsiTheme="majorBidi" w:cstheme="majorBidi"/>
          <w:b/>
          <w:bCs/>
          <w:i/>
          <w:iCs/>
        </w:rPr>
        <w:t>erce des véhicules industriels</w:t>
      </w:r>
    </w:p>
    <w:tbl>
      <w:tblPr>
        <w:tblW w:w="8804" w:type="dxa"/>
        <w:tblInd w:w="55" w:type="dxa"/>
        <w:tblLayout w:type="fixed"/>
        <w:tblCellMar>
          <w:left w:w="70" w:type="dxa"/>
          <w:right w:w="70" w:type="dxa"/>
        </w:tblCellMar>
        <w:tblLook w:val="04A0"/>
      </w:tblPr>
      <w:tblGrid>
        <w:gridCol w:w="4840"/>
        <w:gridCol w:w="1321"/>
        <w:gridCol w:w="1321"/>
        <w:gridCol w:w="1322"/>
      </w:tblGrid>
      <w:tr w:rsidR="008F715D" w:rsidRPr="00CD3634"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CD3634" w:rsidRDefault="008F715D" w:rsidP="002105A0">
            <w:pPr>
              <w:rPr>
                <w:color w:val="000000"/>
                <w:szCs w:val="20"/>
              </w:rPr>
            </w:pPr>
            <w:r w:rsidRPr="00CD3634">
              <w:rPr>
                <w:color w:val="000000"/>
                <w:sz w:val="22"/>
                <w:szCs w:val="20"/>
              </w:rPr>
              <w:t> </w:t>
            </w:r>
          </w:p>
        </w:tc>
        <w:tc>
          <w:tcPr>
            <w:tcW w:w="3964"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CD3634" w:rsidRDefault="008F715D" w:rsidP="002105A0">
            <w:pPr>
              <w:jc w:val="center"/>
              <w:rPr>
                <w:color w:val="000000"/>
                <w:szCs w:val="20"/>
              </w:rPr>
            </w:pPr>
            <w:r w:rsidRPr="00CD3634">
              <w:rPr>
                <w:color w:val="000000"/>
                <w:sz w:val="22"/>
                <w:szCs w:val="20"/>
              </w:rPr>
              <w:t>Premier semestre</w:t>
            </w:r>
          </w:p>
        </w:tc>
      </w:tr>
      <w:tr w:rsidR="008F715D" w:rsidRPr="00CD3634"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D3634" w:rsidRDefault="008F715D" w:rsidP="002105A0">
            <w:pPr>
              <w:rPr>
                <w:color w:val="000000"/>
                <w:szCs w:val="20"/>
              </w:rPr>
            </w:pPr>
            <w:r w:rsidRPr="00CD3634">
              <w:rPr>
                <w:color w:val="000000"/>
                <w:sz w:val="22"/>
                <w:szCs w:val="20"/>
              </w:rPr>
              <w:t> </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CD3634" w:rsidRDefault="008F715D" w:rsidP="002105A0">
            <w:pPr>
              <w:jc w:val="center"/>
              <w:rPr>
                <w:color w:val="000000"/>
                <w:szCs w:val="20"/>
              </w:rPr>
            </w:pPr>
            <w:r w:rsidRPr="00CD3634">
              <w:rPr>
                <w:color w:val="000000"/>
                <w:sz w:val="22"/>
                <w:szCs w:val="20"/>
              </w:rPr>
              <w:t>2015</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CD3634" w:rsidRDefault="008F715D" w:rsidP="002105A0">
            <w:pPr>
              <w:jc w:val="center"/>
              <w:rPr>
                <w:color w:val="000000"/>
                <w:szCs w:val="20"/>
              </w:rPr>
            </w:pPr>
            <w:r w:rsidRPr="00CD3634">
              <w:rPr>
                <w:color w:val="000000"/>
                <w:sz w:val="22"/>
                <w:szCs w:val="20"/>
              </w:rPr>
              <w:t>2016</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CD3634" w:rsidRDefault="008F715D" w:rsidP="002105A0">
            <w:pPr>
              <w:jc w:val="center"/>
              <w:rPr>
                <w:szCs w:val="20"/>
              </w:rPr>
            </w:pPr>
            <w:r w:rsidRPr="00CD3634">
              <w:rPr>
                <w:sz w:val="22"/>
                <w:szCs w:val="20"/>
              </w:rPr>
              <w:t>Var 16/15</w:t>
            </w:r>
          </w:p>
        </w:tc>
      </w:tr>
      <w:tr w:rsidR="008F715D" w:rsidRPr="00CD3634"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D3634" w:rsidRDefault="008F715D" w:rsidP="002105A0">
            <w:pPr>
              <w:rPr>
                <w:color w:val="000000"/>
                <w:szCs w:val="20"/>
              </w:rPr>
            </w:pPr>
            <w:r w:rsidRPr="00CD3634">
              <w:rPr>
                <w:color w:val="000000"/>
                <w:sz w:val="22"/>
                <w:szCs w:val="20"/>
              </w:rPr>
              <w:t>Chiffre d’affaires (en milliards de FCFA)</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CD3634" w:rsidRDefault="008F715D" w:rsidP="002105A0">
            <w:pPr>
              <w:jc w:val="center"/>
              <w:rPr>
                <w:color w:val="000000"/>
                <w:szCs w:val="20"/>
              </w:rPr>
            </w:pPr>
            <w:r w:rsidRPr="00CD3634">
              <w:rPr>
                <w:color w:val="000000"/>
                <w:sz w:val="22"/>
                <w:szCs w:val="20"/>
              </w:rPr>
              <w:t>10,68</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CD3634" w:rsidRDefault="008F715D" w:rsidP="002105A0">
            <w:pPr>
              <w:jc w:val="center"/>
              <w:rPr>
                <w:color w:val="000000"/>
                <w:szCs w:val="20"/>
              </w:rPr>
            </w:pPr>
            <w:r w:rsidRPr="00CD3634">
              <w:rPr>
                <w:color w:val="000000"/>
                <w:sz w:val="22"/>
                <w:szCs w:val="20"/>
              </w:rPr>
              <w:t>11,26</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CD3634" w:rsidRDefault="008F715D" w:rsidP="002105A0">
            <w:pPr>
              <w:jc w:val="center"/>
              <w:rPr>
                <w:szCs w:val="20"/>
              </w:rPr>
            </w:pPr>
            <w:r w:rsidRPr="00CD3634">
              <w:rPr>
                <w:sz w:val="22"/>
                <w:szCs w:val="20"/>
              </w:rPr>
              <w:t>5,4%</w:t>
            </w:r>
          </w:p>
        </w:tc>
      </w:tr>
    </w:tbl>
    <w:p w:rsidR="008F715D" w:rsidRPr="00CD3634" w:rsidRDefault="008F715D" w:rsidP="008F715D">
      <w:pPr>
        <w:contextualSpacing/>
        <w:jc w:val="both"/>
        <w:rPr>
          <w:rFonts w:asciiTheme="majorBidi" w:hAnsiTheme="majorBidi" w:cstheme="majorBidi"/>
          <w:b/>
          <w:bCs/>
          <w:i/>
          <w:iCs/>
          <w:sz w:val="16"/>
          <w:szCs w:val="16"/>
        </w:rPr>
      </w:pPr>
      <w:r w:rsidRPr="00CD3634">
        <w:rPr>
          <w:rFonts w:asciiTheme="majorBidi" w:hAnsiTheme="majorBidi" w:cstheme="majorBidi"/>
          <w:b/>
          <w:bCs/>
          <w:i/>
          <w:iCs/>
          <w:sz w:val="16"/>
          <w:szCs w:val="16"/>
        </w:rPr>
        <w:t>Source : Tractafric Equipemen</w:t>
      </w:r>
      <w:bookmarkStart w:id="195" w:name="_MON_1530614594"/>
      <w:bookmarkEnd w:id="195"/>
      <w:r w:rsidRPr="00CD3634">
        <w:rPr>
          <w:rFonts w:asciiTheme="majorBidi" w:hAnsiTheme="majorBidi" w:cstheme="majorBidi"/>
          <w:b/>
          <w:bCs/>
          <w:i/>
          <w:iCs/>
          <w:sz w:val="16"/>
          <w:szCs w:val="16"/>
        </w:rPr>
        <w:t>t</w:t>
      </w:r>
    </w:p>
    <w:p w:rsidR="008F715D" w:rsidRPr="00CB1F5B" w:rsidRDefault="008F715D" w:rsidP="008F715D">
      <w:pPr>
        <w:jc w:val="both"/>
        <w:rPr>
          <w:rFonts w:asciiTheme="majorBidi" w:hAnsiTheme="majorBidi" w:cstheme="majorBidi"/>
        </w:rPr>
      </w:pPr>
    </w:p>
    <w:p w:rsidR="008F715D" w:rsidRPr="00125AFA" w:rsidRDefault="008F715D" w:rsidP="008F715D">
      <w:pPr>
        <w:pStyle w:val="Titre3"/>
        <w:ind w:firstLine="0"/>
        <w:rPr>
          <w:rFonts w:asciiTheme="majorBidi" w:hAnsiTheme="majorBidi" w:cstheme="majorBidi"/>
          <w:b/>
          <w:bCs/>
          <w:i/>
          <w:iCs/>
          <w:color w:val="0000FF"/>
          <w:sz w:val="24"/>
        </w:rPr>
      </w:pPr>
      <w:bookmarkStart w:id="196" w:name="_Toc63511815"/>
      <w:bookmarkStart w:id="197" w:name="_Toc77665764"/>
      <w:bookmarkStart w:id="198" w:name="_Toc356891334"/>
      <w:bookmarkStart w:id="199" w:name="_Toc389653158"/>
      <w:bookmarkStart w:id="200" w:name="_Toc389653386"/>
      <w:bookmarkStart w:id="201" w:name="_Toc397691625"/>
      <w:bookmarkStart w:id="202" w:name="_Toc420027538"/>
      <w:bookmarkStart w:id="203" w:name="_Toc462990840"/>
      <w:r>
        <w:rPr>
          <w:rFonts w:asciiTheme="majorBidi" w:hAnsiTheme="majorBidi" w:cstheme="majorBidi"/>
          <w:b/>
          <w:bCs/>
          <w:i/>
          <w:iCs/>
          <w:color w:val="0000FF"/>
          <w:sz w:val="24"/>
        </w:rPr>
        <w:t>I</w:t>
      </w:r>
      <w:r w:rsidRPr="00125AFA">
        <w:rPr>
          <w:rFonts w:asciiTheme="majorBidi" w:hAnsiTheme="majorBidi" w:cstheme="majorBidi"/>
          <w:b/>
          <w:bCs/>
          <w:i/>
          <w:iCs/>
          <w:color w:val="0000FF"/>
          <w:sz w:val="24"/>
        </w:rPr>
        <w:t>I.1</w:t>
      </w:r>
      <w:r>
        <w:rPr>
          <w:rFonts w:asciiTheme="majorBidi" w:hAnsiTheme="majorBidi" w:cstheme="majorBidi"/>
          <w:b/>
          <w:bCs/>
          <w:i/>
          <w:iCs/>
          <w:color w:val="0000FF"/>
          <w:sz w:val="24"/>
        </w:rPr>
        <w:t>5</w:t>
      </w:r>
      <w:r w:rsidRPr="00125AFA">
        <w:rPr>
          <w:rFonts w:asciiTheme="majorBidi" w:hAnsiTheme="majorBidi" w:cstheme="majorBidi"/>
          <w:b/>
          <w:bCs/>
          <w:i/>
          <w:iCs/>
          <w:color w:val="0000FF"/>
          <w:sz w:val="24"/>
        </w:rPr>
        <w:t>.3. Le commerce des produits pétroliers</w:t>
      </w:r>
      <w:bookmarkEnd w:id="196"/>
      <w:bookmarkEnd w:id="197"/>
      <w:bookmarkEnd w:id="198"/>
      <w:bookmarkEnd w:id="199"/>
      <w:bookmarkEnd w:id="200"/>
      <w:bookmarkEnd w:id="201"/>
      <w:bookmarkEnd w:id="202"/>
      <w:bookmarkEnd w:id="203"/>
    </w:p>
    <w:p w:rsidR="008F715D" w:rsidRPr="00125AFA"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rPr>
      </w:pPr>
      <w:bookmarkStart w:id="204" w:name="_Toc356891335"/>
      <w:bookmarkStart w:id="205" w:name="_Toc389653159"/>
      <w:bookmarkStart w:id="206" w:name="_Toc389653387"/>
      <w:bookmarkStart w:id="207" w:name="_Toc397691626"/>
      <w:r w:rsidRPr="00A90DE3">
        <w:rPr>
          <w:rFonts w:asciiTheme="majorBidi" w:hAnsiTheme="majorBidi" w:cstheme="majorBidi"/>
        </w:rPr>
        <w:t>Le volume des ventes des produits pétroliers s</w:t>
      </w:r>
      <w:r>
        <w:rPr>
          <w:rFonts w:asciiTheme="majorBidi" w:hAnsiTheme="majorBidi" w:cstheme="majorBidi"/>
        </w:rPr>
        <w:t>’</w:t>
      </w:r>
      <w:r w:rsidRPr="00A90DE3">
        <w:rPr>
          <w:rFonts w:asciiTheme="majorBidi" w:hAnsiTheme="majorBidi" w:cstheme="majorBidi"/>
        </w:rPr>
        <w:t>e</w:t>
      </w:r>
      <w:r>
        <w:rPr>
          <w:rFonts w:asciiTheme="majorBidi" w:hAnsiTheme="majorBidi" w:cstheme="majorBidi"/>
        </w:rPr>
        <w:t>st</w:t>
      </w:r>
      <w:r w:rsidRPr="00A90DE3">
        <w:rPr>
          <w:rFonts w:asciiTheme="majorBidi" w:hAnsiTheme="majorBidi" w:cstheme="majorBidi"/>
        </w:rPr>
        <w:t xml:space="preserve"> contract</w:t>
      </w:r>
      <w:r>
        <w:rPr>
          <w:rFonts w:asciiTheme="majorBidi" w:hAnsiTheme="majorBidi" w:cstheme="majorBidi"/>
        </w:rPr>
        <w:t>é</w:t>
      </w:r>
      <w:r w:rsidRPr="00A90DE3">
        <w:rPr>
          <w:rFonts w:asciiTheme="majorBidi" w:hAnsiTheme="majorBidi" w:cstheme="majorBidi"/>
        </w:rPr>
        <w:t xml:space="preserve"> </w:t>
      </w:r>
      <w:r>
        <w:rPr>
          <w:rFonts w:asciiTheme="majorBidi" w:hAnsiTheme="majorBidi" w:cstheme="majorBidi"/>
        </w:rPr>
        <w:t>au cours du premier semestre sous l’effet de la faiblesse des consommations de gasoil par les clients industriels, notamment les BTP. Ainsi, les volumes vendus ont atteint 325 815 tonnes métriques à fin juin 2016, en baisse de 4,6%.</w:t>
      </w:r>
    </w:p>
    <w:p w:rsidR="008F715D" w:rsidRPr="00CB1F5B"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b/>
          <w:bCs/>
          <w:i/>
          <w:color w:val="000000"/>
        </w:rPr>
      </w:pPr>
      <w:r w:rsidRPr="00CB1F5B">
        <w:rPr>
          <w:rFonts w:asciiTheme="majorBidi" w:hAnsiTheme="majorBidi" w:cstheme="majorBidi"/>
          <w:b/>
          <w:bCs/>
          <w:i/>
          <w:color w:val="000000"/>
        </w:rPr>
        <w:t>Evolution du commerce des produits pétroliers</w:t>
      </w:r>
    </w:p>
    <w:tbl>
      <w:tblPr>
        <w:tblW w:w="8804" w:type="dxa"/>
        <w:tblInd w:w="55" w:type="dxa"/>
        <w:tblLayout w:type="fixed"/>
        <w:tblCellMar>
          <w:left w:w="70" w:type="dxa"/>
          <w:right w:w="70" w:type="dxa"/>
        </w:tblCellMar>
        <w:tblLook w:val="04A0"/>
      </w:tblPr>
      <w:tblGrid>
        <w:gridCol w:w="4840"/>
        <w:gridCol w:w="1321"/>
        <w:gridCol w:w="1321"/>
        <w:gridCol w:w="1322"/>
      </w:tblGrid>
      <w:tr w:rsidR="008F715D" w:rsidRPr="00E60998"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E60998" w:rsidRDefault="008F715D" w:rsidP="002105A0">
            <w:pPr>
              <w:rPr>
                <w:color w:val="000000"/>
              </w:rPr>
            </w:pPr>
            <w:r w:rsidRPr="00E60998">
              <w:rPr>
                <w:color w:val="000000"/>
                <w:sz w:val="22"/>
                <w:szCs w:val="22"/>
              </w:rPr>
              <w:t> </w:t>
            </w:r>
          </w:p>
        </w:tc>
        <w:tc>
          <w:tcPr>
            <w:tcW w:w="3964"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E60998" w:rsidRDefault="008F715D" w:rsidP="002105A0">
            <w:pPr>
              <w:jc w:val="center"/>
              <w:rPr>
                <w:color w:val="000000"/>
              </w:rPr>
            </w:pPr>
            <w:r w:rsidRPr="00E60998">
              <w:rPr>
                <w:color w:val="000000"/>
                <w:sz w:val="22"/>
                <w:szCs w:val="22"/>
              </w:rPr>
              <w:t>Premier semestre</w:t>
            </w:r>
          </w:p>
        </w:tc>
      </w:tr>
      <w:tr w:rsidR="008F715D" w:rsidRPr="00E6099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60998" w:rsidRDefault="008F715D" w:rsidP="002105A0">
            <w:pPr>
              <w:rPr>
                <w:color w:val="000000"/>
              </w:rPr>
            </w:pPr>
            <w:r w:rsidRPr="00E60998">
              <w:rPr>
                <w:color w:val="000000"/>
                <w:sz w:val="22"/>
                <w:szCs w:val="22"/>
              </w:rPr>
              <w:t> </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60998" w:rsidRDefault="008F715D" w:rsidP="002105A0">
            <w:pPr>
              <w:jc w:val="center"/>
              <w:rPr>
                <w:color w:val="000000"/>
              </w:rPr>
            </w:pPr>
            <w:r w:rsidRPr="00E60998">
              <w:rPr>
                <w:color w:val="000000"/>
                <w:sz w:val="22"/>
                <w:szCs w:val="22"/>
              </w:rPr>
              <w:t>2015</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60998" w:rsidRDefault="008F715D" w:rsidP="002105A0">
            <w:pPr>
              <w:jc w:val="center"/>
              <w:rPr>
                <w:color w:val="000000"/>
              </w:rPr>
            </w:pPr>
            <w:r w:rsidRPr="00E60998">
              <w:rPr>
                <w:color w:val="000000"/>
                <w:sz w:val="22"/>
                <w:szCs w:val="22"/>
              </w:rPr>
              <w:t>2016</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60998" w:rsidRDefault="008F715D" w:rsidP="002105A0">
            <w:pPr>
              <w:jc w:val="center"/>
            </w:pPr>
            <w:r w:rsidRPr="00E60998">
              <w:rPr>
                <w:sz w:val="22"/>
                <w:szCs w:val="22"/>
              </w:rPr>
              <w:t>Var 16/15</w:t>
            </w:r>
          </w:p>
        </w:tc>
      </w:tr>
      <w:tr w:rsidR="008F715D" w:rsidRPr="00E6099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60998" w:rsidRDefault="008F715D" w:rsidP="002105A0">
            <w:pPr>
              <w:rPr>
                <w:color w:val="000000"/>
              </w:rPr>
            </w:pPr>
            <w:r w:rsidRPr="00E60998">
              <w:rPr>
                <w:color w:val="000000"/>
                <w:sz w:val="22"/>
                <w:szCs w:val="22"/>
              </w:rPr>
              <w:t>Volumes vendus (en tonnes métriques)</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60998" w:rsidRDefault="008F715D" w:rsidP="002105A0">
            <w:pPr>
              <w:jc w:val="center"/>
              <w:rPr>
                <w:color w:val="000000"/>
              </w:rPr>
            </w:pPr>
            <w:r w:rsidRPr="00E60998">
              <w:rPr>
                <w:color w:val="000000"/>
                <w:sz w:val="22"/>
                <w:szCs w:val="22"/>
              </w:rPr>
              <w:t>341 436</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E60998" w:rsidRDefault="008F715D" w:rsidP="002105A0">
            <w:pPr>
              <w:jc w:val="center"/>
              <w:rPr>
                <w:color w:val="000000"/>
              </w:rPr>
            </w:pPr>
            <w:r w:rsidRPr="00E60998">
              <w:rPr>
                <w:color w:val="000000"/>
                <w:sz w:val="22"/>
                <w:szCs w:val="22"/>
              </w:rPr>
              <w:t>325 815</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E60998" w:rsidRDefault="008F715D" w:rsidP="002105A0">
            <w:pPr>
              <w:jc w:val="center"/>
              <w:rPr>
                <w:color w:val="FF0000"/>
              </w:rPr>
            </w:pPr>
            <w:r w:rsidRPr="00E60998">
              <w:rPr>
                <w:color w:val="FF0000"/>
                <w:sz w:val="22"/>
                <w:szCs w:val="22"/>
              </w:rPr>
              <w:t>-4,6%</w:t>
            </w:r>
          </w:p>
        </w:tc>
      </w:tr>
      <w:tr w:rsidR="008F715D" w:rsidRPr="00E6099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60998" w:rsidRDefault="008F715D" w:rsidP="002105A0">
            <w:pPr>
              <w:rPr>
                <w:i/>
                <w:iCs/>
                <w:color w:val="000000"/>
              </w:rPr>
            </w:pPr>
            <w:r w:rsidRPr="00E60998">
              <w:rPr>
                <w:i/>
                <w:iCs/>
                <w:color w:val="000000"/>
                <w:sz w:val="22"/>
                <w:szCs w:val="22"/>
              </w:rPr>
              <w:t xml:space="preserve">   dont Gasoil</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C1CBA" w:rsidRDefault="008F715D" w:rsidP="002105A0">
            <w:pPr>
              <w:jc w:val="center"/>
              <w:rPr>
                <w:i/>
                <w:iCs/>
                <w:color w:val="000000"/>
              </w:rPr>
            </w:pPr>
            <w:r w:rsidRPr="00AC1CBA">
              <w:rPr>
                <w:i/>
                <w:iCs/>
                <w:color w:val="000000"/>
                <w:sz w:val="22"/>
                <w:szCs w:val="22"/>
              </w:rPr>
              <w:t>242 720</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C1CBA" w:rsidRDefault="008F715D" w:rsidP="002105A0">
            <w:pPr>
              <w:jc w:val="center"/>
              <w:rPr>
                <w:i/>
                <w:iCs/>
                <w:color w:val="000000"/>
              </w:rPr>
            </w:pPr>
            <w:r w:rsidRPr="00AC1CBA">
              <w:rPr>
                <w:i/>
                <w:iCs/>
                <w:color w:val="000000"/>
                <w:sz w:val="22"/>
                <w:szCs w:val="22"/>
              </w:rPr>
              <w:t>224 259</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AC1CBA" w:rsidRDefault="008F715D" w:rsidP="002105A0">
            <w:pPr>
              <w:jc w:val="center"/>
              <w:rPr>
                <w:i/>
                <w:iCs/>
                <w:color w:val="FF0000"/>
              </w:rPr>
            </w:pPr>
            <w:r w:rsidRPr="00AC1CBA">
              <w:rPr>
                <w:i/>
                <w:iCs/>
                <w:color w:val="FF0000"/>
                <w:sz w:val="22"/>
                <w:szCs w:val="22"/>
              </w:rPr>
              <w:t>-7,6%</w:t>
            </w:r>
          </w:p>
        </w:tc>
      </w:tr>
      <w:tr w:rsidR="008F715D" w:rsidRPr="00E6099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60998" w:rsidRDefault="008F715D" w:rsidP="002105A0">
            <w:pPr>
              <w:rPr>
                <w:i/>
                <w:iCs/>
                <w:color w:val="000000"/>
              </w:rPr>
            </w:pPr>
            <w:r w:rsidRPr="00E60998">
              <w:rPr>
                <w:i/>
                <w:iCs/>
                <w:color w:val="000000"/>
                <w:sz w:val="22"/>
                <w:szCs w:val="22"/>
              </w:rPr>
              <w:t xml:space="preserve">           Supercarburant</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C1CBA" w:rsidRDefault="008F715D" w:rsidP="002105A0">
            <w:pPr>
              <w:jc w:val="center"/>
              <w:rPr>
                <w:i/>
                <w:iCs/>
                <w:color w:val="000000"/>
              </w:rPr>
            </w:pPr>
            <w:r w:rsidRPr="00AC1CBA">
              <w:rPr>
                <w:i/>
                <w:iCs/>
                <w:color w:val="000000"/>
                <w:sz w:val="22"/>
                <w:szCs w:val="22"/>
              </w:rPr>
              <w:t>39 427</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C1CBA" w:rsidRDefault="008F715D" w:rsidP="002105A0">
            <w:pPr>
              <w:jc w:val="center"/>
              <w:rPr>
                <w:i/>
                <w:iCs/>
                <w:color w:val="000000"/>
              </w:rPr>
            </w:pPr>
            <w:r w:rsidRPr="00AC1CBA">
              <w:rPr>
                <w:i/>
                <w:iCs/>
                <w:color w:val="000000"/>
                <w:sz w:val="22"/>
                <w:szCs w:val="22"/>
              </w:rPr>
              <w:t>41 257</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AC1CBA" w:rsidRDefault="008F715D" w:rsidP="002105A0">
            <w:pPr>
              <w:jc w:val="center"/>
              <w:rPr>
                <w:i/>
                <w:iCs/>
              </w:rPr>
            </w:pPr>
            <w:r w:rsidRPr="00AC1CBA">
              <w:rPr>
                <w:i/>
                <w:iCs/>
                <w:sz w:val="22"/>
                <w:szCs w:val="22"/>
              </w:rPr>
              <w:t>4,6%</w:t>
            </w:r>
          </w:p>
        </w:tc>
      </w:tr>
      <w:tr w:rsidR="008F715D" w:rsidRPr="00E60998"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E60998" w:rsidRDefault="008F715D" w:rsidP="002105A0">
            <w:pPr>
              <w:rPr>
                <w:i/>
                <w:iCs/>
                <w:color w:val="000000"/>
              </w:rPr>
            </w:pPr>
            <w:r w:rsidRPr="00E60998">
              <w:rPr>
                <w:i/>
                <w:iCs/>
                <w:color w:val="000000"/>
                <w:sz w:val="22"/>
                <w:szCs w:val="22"/>
              </w:rPr>
              <w:t xml:space="preserve">           Kérosène</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C1CBA" w:rsidRDefault="008F715D" w:rsidP="002105A0">
            <w:pPr>
              <w:jc w:val="center"/>
              <w:rPr>
                <w:i/>
                <w:iCs/>
                <w:color w:val="000000"/>
              </w:rPr>
            </w:pPr>
            <w:r w:rsidRPr="00AC1CBA">
              <w:rPr>
                <w:i/>
                <w:iCs/>
                <w:color w:val="000000"/>
                <w:sz w:val="22"/>
                <w:szCs w:val="22"/>
              </w:rPr>
              <w:t>23 444</w:t>
            </w:r>
          </w:p>
        </w:tc>
        <w:tc>
          <w:tcPr>
            <w:tcW w:w="1321" w:type="dxa"/>
            <w:tcBorders>
              <w:top w:val="nil"/>
              <w:left w:val="nil"/>
              <w:bottom w:val="single" w:sz="12" w:space="0" w:color="0070C0"/>
              <w:right w:val="single" w:sz="12" w:space="0" w:color="0070C0"/>
            </w:tcBorders>
            <w:shd w:val="clear" w:color="auto" w:fill="auto"/>
            <w:noWrap/>
            <w:vAlign w:val="center"/>
            <w:hideMark/>
          </w:tcPr>
          <w:p w:rsidR="008F715D" w:rsidRPr="00AC1CBA" w:rsidRDefault="008F715D" w:rsidP="002105A0">
            <w:pPr>
              <w:jc w:val="center"/>
              <w:rPr>
                <w:i/>
                <w:iCs/>
                <w:color w:val="000000"/>
              </w:rPr>
            </w:pPr>
            <w:r w:rsidRPr="00AC1CBA">
              <w:rPr>
                <w:i/>
                <w:iCs/>
                <w:color w:val="000000"/>
                <w:sz w:val="22"/>
                <w:szCs w:val="22"/>
              </w:rPr>
              <w:t>23 459</w:t>
            </w:r>
          </w:p>
        </w:tc>
        <w:tc>
          <w:tcPr>
            <w:tcW w:w="1322" w:type="dxa"/>
            <w:tcBorders>
              <w:top w:val="nil"/>
              <w:left w:val="nil"/>
              <w:bottom w:val="single" w:sz="12" w:space="0" w:color="0070C0"/>
              <w:right w:val="single" w:sz="12" w:space="0" w:color="0070C0"/>
            </w:tcBorders>
            <w:shd w:val="clear" w:color="auto" w:fill="auto"/>
            <w:noWrap/>
            <w:vAlign w:val="center"/>
            <w:hideMark/>
          </w:tcPr>
          <w:p w:rsidR="008F715D" w:rsidRPr="00AC1CBA" w:rsidRDefault="008F715D" w:rsidP="002105A0">
            <w:pPr>
              <w:jc w:val="center"/>
              <w:rPr>
                <w:i/>
                <w:iCs/>
              </w:rPr>
            </w:pPr>
            <w:r w:rsidRPr="00AC1CBA">
              <w:rPr>
                <w:i/>
                <w:iCs/>
                <w:sz w:val="22"/>
                <w:szCs w:val="22"/>
              </w:rPr>
              <w:t>0,1%</w:t>
            </w:r>
          </w:p>
        </w:tc>
      </w:tr>
    </w:tbl>
    <w:p w:rsidR="008F715D" w:rsidRPr="00125AFA" w:rsidRDefault="008F715D" w:rsidP="008F715D">
      <w:pPr>
        <w:jc w:val="both"/>
        <w:rPr>
          <w:rFonts w:asciiTheme="majorBidi" w:hAnsiTheme="majorBidi" w:cstheme="majorBidi"/>
          <w:sz w:val="20"/>
          <w:szCs w:val="20"/>
          <w:lang w:val="en-US"/>
        </w:rPr>
      </w:pPr>
      <w:r w:rsidRPr="00125AFA">
        <w:rPr>
          <w:rFonts w:asciiTheme="majorBidi" w:hAnsiTheme="majorBidi" w:cstheme="majorBidi"/>
          <w:b/>
          <w:i/>
          <w:sz w:val="16"/>
          <w:szCs w:val="16"/>
          <w:lang w:val="en-US"/>
        </w:rPr>
        <w:t>Source: GPP</w:t>
      </w:r>
    </w:p>
    <w:p w:rsidR="008F715D" w:rsidRDefault="008F715D" w:rsidP="008F715D">
      <w:pPr>
        <w:jc w:val="both"/>
        <w:rPr>
          <w:rFonts w:asciiTheme="majorBidi" w:hAnsiTheme="majorBidi" w:cstheme="majorBidi"/>
          <w:lang w:val="en-US"/>
        </w:rPr>
      </w:pPr>
    </w:p>
    <w:p w:rsidR="008F715D" w:rsidRPr="00125AFA" w:rsidRDefault="008F715D" w:rsidP="008F715D">
      <w:pPr>
        <w:jc w:val="both"/>
        <w:rPr>
          <w:rFonts w:asciiTheme="majorBidi" w:hAnsiTheme="majorBidi" w:cstheme="majorBidi"/>
          <w:lang w:val="en-US"/>
        </w:rPr>
      </w:pPr>
    </w:p>
    <w:p w:rsidR="008F715D" w:rsidRPr="00125AFA" w:rsidRDefault="008F715D" w:rsidP="008F715D">
      <w:pPr>
        <w:pStyle w:val="Titre3"/>
        <w:ind w:firstLine="0"/>
        <w:rPr>
          <w:rFonts w:asciiTheme="majorBidi" w:hAnsiTheme="majorBidi" w:cstheme="majorBidi"/>
          <w:b/>
          <w:bCs/>
          <w:i/>
          <w:iCs/>
          <w:color w:val="0000FF"/>
          <w:sz w:val="24"/>
        </w:rPr>
      </w:pPr>
      <w:bookmarkStart w:id="208" w:name="_Toc420027539"/>
      <w:bookmarkStart w:id="209" w:name="_Toc462990841"/>
      <w:r>
        <w:rPr>
          <w:rFonts w:asciiTheme="majorBidi" w:hAnsiTheme="majorBidi" w:cstheme="majorBidi"/>
          <w:b/>
          <w:bCs/>
          <w:i/>
          <w:iCs/>
          <w:color w:val="0000FF"/>
          <w:sz w:val="24"/>
        </w:rPr>
        <w:t>I</w:t>
      </w:r>
      <w:r w:rsidRPr="00125AFA">
        <w:rPr>
          <w:rFonts w:asciiTheme="majorBidi" w:hAnsiTheme="majorBidi" w:cstheme="majorBidi"/>
          <w:b/>
          <w:bCs/>
          <w:i/>
          <w:iCs/>
          <w:color w:val="0000FF"/>
          <w:sz w:val="24"/>
        </w:rPr>
        <w:t>I.1</w:t>
      </w:r>
      <w:r>
        <w:rPr>
          <w:rFonts w:asciiTheme="majorBidi" w:hAnsiTheme="majorBidi" w:cstheme="majorBidi"/>
          <w:b/>
          <w:bCs/>
          <w:i/>
          <w:iCs/>
          <w:color w:val="0000FF"/>
          <w:sz w:val="24"/>
        </w:rPr>
        <w:t>5.4</w:t>
      </w:r>
      <w:r w:rsidRPr="00125AFA">
        <w:rPr>
          <w:rFonts w:asciiTheme="majorBidi" w:hAnsiTheme="majorBidi" w:cstheme="majorBidi"/>
          <w:b/>
          <w:bCs/>
          <w:i/>
          <w:iCs/>
          <w:color w:val="0000FF"/>
          <w:sz w:val="24"/>
        </w:rPr>
        <w:t>.</w:t>
      </w:r>
      <w:r>
        <w:rPr>
          <w:rFonts w:asciiTheme="majorBidi" w:hAnsiTheme="majorBidi" w:cstheme="majorBidi"/>
          <w:b/>
          <w:bCs/>
          <w:i/>
          <w:iCs/>
          <w:color w:val="0000FF"/>
          <w:sz w:val="24"/>
        </w:rPr>
        <w:t xml:space="preserve"> </w:t>
      </w:r>
      <w:r w:rsidRPr="00125AFA">
        <w:rPr>
          <w:rFonts w:asciiTheme="majorBidi" w:hAnsiTheme="majorBidi" w:cstheme="majorBidi"/>
          <w:b/>
          <w:bCs/>
          <w:i/>
          <w:iCs/>
          <w:color w:val="0000FF"/>
          <w:sz w:val="24"/>
        </w:rPr>
        <w:t>Le commerce des produits pharmaceutiques</w:t>
      </w:r>
      <w:bookmarkEnd w:id="204"/>
      <w:bookmarkEnd w:id="205"/>
      <w:bookmarkEnd w:id="206"/>
      <w:bookmarkEnd w:id="207"/>
      <w:bookmarkEnd w:id="208"/>
      <w:bookmarkEnd w:id="209"/>
    </w:p>
    <w:p w:rsidR="008F715D" w:rsidRPr="00125AFA" w:rsidRDefault="008F715D" w:rsidP="008F715D">
      <w:pPr>
        <w:jc w:val="both"/>
        <w:rPr>
          <w:rFonts w:asciiTheme="majorBidi" w:hAnsiTheme="majorBidi" w:cstheme="majorBidi"/>
        </w:rPr>
      </w:pPr>
    </w:p>
    <w:p w:rsidR="008F715D" w:rsidRDefault="008F715D" w:rsidP="008F715D">
      <w:pPr>
        <w:contextualSpacing/>
        <w:jc w:val="both"/>
        <w:rPr>
          <w:rFonts w:asciiTheme="majorBidi" w:hAnsiTheme="majorBidi" w:cstheme="majorBidi"/>
        </w:rPr>
      </w:pPr>
      <w:bookmarkStart w:id="210" w:name="_Toc356891336"/>
      <w:bookmarkStart w:id="211" w:name="_Toc389653160"/>
      <w:bookmarkStart w:id="212" w:name="_Toc389653388"/>
      <w:r w:rsidRPr="0006687C">
        <w:rPr>
          <w:rFonts w:asciiTheme="majorBidi" w:hAnsiTheme="majorBidi" w:cstheme="majorBidi"/>
        </w:rPr>
        <w:t xml:space="preserve">Le commerce des produits pharmaceutiques </w:t>
      </w:r>
      <w:r>
        <w:rPr>
          <w:rFonts w:asciiTheme="majorBidi" w:hAnsiTheme="majorBidi" w:cstheme="majorBidi"/>
        </w:rPr>
        <w:t xml:space="preserve">s’est redressé à fin juin 2016. </w:t>
      </w:r>
      <w:r w:rsidRPr="0006687C">
        <w:rPr>
          <w:rFonts w:asciiTheme="majorBidi" w:hAnsiTheme="majorBidi" w:cstheme="majorBidi"/>
        </w:rPr>
        <w:t xml:space="preserve">Ainsi le chiffre </w:t>
      </w:r>
      <w:r w:rsidRPr="004B14A6">
        <w:rPr>
          <w:rFonts w:asciiTheme="majorBidi" w:hAnsiTheme="majorBidi" w:cstheme="majorBidi"/>
        </w:rPr>
        <w:t xml:space="preserve">d’affaires est passé de 30 milliards de FCFA à fin juin 2015 à 30,6 milliards, soit une hausse de 2,23%, </w:t>
      </w:r>
      <w:r>
        <w:rPr>
          <w:rFonts w:asciiTheme="majorBidi" w:hAnsiTheme="majorBidi" w:cstheme="majorBidi"/>
        </w:rPr>
        <w:t xml:space="preserve">suite à une </w:t>
      </w:r>
      <w:r w:rsidRPr="004B14A6">
        <w:rPr>
          <w:rFonts w:asciiTheme="majorBidi" w:hAnsiTheme="majorBidi" w:cstheme="majorBidi"/>
        </w:rPr>
        <w:t>hausse des consommations des médicaments impulsée par l’élargissement du nombre des assurés de la</w:t>
      </w:r>
      <w:r w:rsidRPr="0006687C">
        <w:rPr>
          <w:rFonts w:asciiTheme="majorBidi" w:hAnsiTheme="majorBidi" w:cstheme="majorBidi"/>
        </w:rPr>
        <w:t xml:space="preserve"> CNAMGS.</w:t>
      </w:r>
      <w:r>
        <w:rPr>
          <w:rFonts w:asciiTheme="majorBidi" w:hAnsiTheme="majorBidi" w:cstheme="majorBidi"/>
        </w:rPr>
        <w:t xml:space="preserve"> </w:t>
      </w:r>
    </w:p>
    <w:p w:rsidR="008F715D" w:rsidRPr="0006687C" w:rsidRDefault="008F715D" w:rsidP="008F715D">
      <w:pPr>
        <w:contextualSpacing/>
        <w:jc w:val="both"/>
        <w:rPr>
          <w:rFonts w:asciiTheme="majorBidi" w:hAnsiTheme="majorBidi" w:cstheme="majorBidi"/>
        </w:rPr>
      </w:pPr>
    </w:p>
    <w:p w:rsidR="008F715D" w:rsidRPr="00CD3634" w:rsidRDefault="008F715D" w:rsidP="008F715D">
      <w:pPr>
        <w:contextualSpacing/>
        <w:rPr>
          <w:rFonts w:asciiTheme="majorBidi" w:hAnsiTheme="majorBidi" w:cstheme="majorBidi"/>
          <w:b/>
          <w:bCs/>
          <w:i/>
          <w:iCs/>
        </w:rPr>
      </w:pPr>
      <w:r w:rsidRPr="00CD3634">
        <w:rPr>
          <w:rFonts w:asciiTheme="majorBidi" w:hAnsiTheme="majorBidi" w:cstheme="majorBidi"/>
          <w:b/>
          <w:bCs/>
          <w:i/>
          <w:iCs/>
        </w:rPr>
        <w:t>Evolution du commerce des produits pharmaceutiques</w:t>
      </w:r>
    </w:p>
    <w:tbl>
      <w:tblPr>
        <w:tblW w:w="8662" w:type="dxa"/>
        <w:tblInd w:w="55" w:type="dxa"/>
        <w:tblLayout w:type="fixed"/>
        <w:tblCellMar>
          <w:left w:w="70" w:type="dxa"/>
          <w:right w:w="70" w:type="dxa"/>
        </w:tblCellMar>
        <w:tblLook w:val="04A0"/>
      </w:tblPr>
      <w:tblGrid>
        <w:gridCol w:w="4840"/>
        <w:gridCol w:w="1274"/>
        <w:gridCol w:w="1274"/>
        <w:gridCol w:w="1274"/>
      </w:tblGrid>
      <w:tr w:rsidR="008F715D" w:rsidRPr="00CD3634"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CD3634" w:rsidRDefault="008F715D" w:rsidP="002105A0">
            <w:pPr>
              <w:rPr>
                <w:color w:val="000000"/>
                <w:szCs w:val="20"/>
              </w:rPr>
            </w:pPr>
          </w:p>
        </w:tc>
        <w:tc>
          <w:tcPr>
            <w:tcW w:w="3822"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CD3634" w:rsidRDefault="008F715D" w:rsidP="002105A0">
            <w:pPr>
              <w:jc w:val="center"/>
              <w:rPr>
                <w:color w:val="000000"/>
                <w:szCs w:val="20"/>
              </w:rPr>
            </w:pPr>
            <w:r w:rsidRPr="00CD3634">
              <w:rPr>
                <w:color w:val="000000"/>
                <w:sz w:val="22"/>
                <w:szCs w:val="20"/>
              </w:rPr>
              <w:t>Premier semestre</w:t>
            </w:r>
          </w:p>
        </w:tc>
      </w:tr>
      <w:tr w:rsidR="008F715D" w:rsidRPr="00CD3634"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D3634" w:rsidRDefault="008F715D" w:rsidP="002105A0">
            <w:pPr>
              <w:rPr>
                <w:color w:val="000000"/>
                <w:szCs w:val="20"/>
              </w:rPr>
            </w:pPr>
            <w:r w:rsidRPr="00CD3634">
              <w:rPr>
                <w:color w:val="000000"/>
                <w:sz w:val="22"/>
                <w:szCs w:val="20"/>
              </w:rPr>
              <w:t> </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CD3634" w:rsidRDefault="008F715D" w:rsidP="002105A0">
            <w:pPr>
              <w:jc w:val="center"/>
              <w:rPr>
                <w:color w:val="000000"/>
                <w:szCs w:val="20"/>
              </w:rPr>
            </w:pPr>
            <w:r w:rsidRPr="00CD3634">
              <w:rPr>
                <w:color w:val="000000"/>
                <w:sz w:val="22"/>
                <w:szCs w:val="20"/>
              </w:rPr>
              <w:t>2015</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CD3634" w:rsidRDefault="008F715D" w:rsidP="002105A0">
            <w:pPr>
              <w:jc w:val="center"/>
              <w:rPr>
                <w:color w:val="000000"/>
                <w:szCs w:val="20"/>
              </w:rPr>
            </w:pPr>
            <w:r w:rsidRPr="00CD3634">
              <w:rPr>
                <w:color w:val="000000"/>
                <w:sz w:val="22"/>
                <w:szCs w:val="20"/>
              </w:rPr>
              <w:t>2016</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CD3634" w:rsidRDefault="008F715D" w:rsidP="002105A0">
            <w:pPr>
              <w:jc w:val="center"/>
              <w:rPr>
                <w:szCs w:val="20"/>
              </w:rPr>
            </w:pPr>
            <w:r w:rsidRPr="00CD3634">
              <w:rPr>
                <w:sz w:val="22"/>
                <w:szCs w:val="20"/>
              </w:rPr>
              <w:t>Var 16/15</w:t>
            </w:r>
          </w:p>
        </w:tc>
      </w:tr>
      <w:tr w:rsidR="008F715D" w:rsidRPr="00CD3634"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D3634" w:rsidRDefault="008F715D" w:rsidP="002105A0">
            <w:pPr>
              <w:rPr>
                <w:color w:val="000000"/>
                <w:szCs w:val="20"/>
              </w:rPr>
            </w:pPr>
            <w:r w:rsidRPr="00CD3634">
              <w:rPr>
                <w:color w:val="000000"/>
                <w:sz w:val="22"/>
                <w:szCs w:val="20"/>
              </w:rPr>
              <w:lastRenderedPageBreak/>
              <w:t>Chiffre d’affaires (en milliards de FCFA)</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CD3634" w:rsidRDefault="008F715D" w:rsidP="002105A0">
            <w:pPr>
              <w:jc w:val="center"/>
              <w:rPr>
                <w:color w:val="000000"/>
                <w:szCs w:val="20"/>
              </w:rPr>
            </w:pPr>
            <w:r w:rsidRPr="00CD3634">
              <w:rPr>
                <w:color w:val="000000"/>
                <w:sz w:val="22"/>
                <w:szCs w:val="20"/>
              </w:rPr>
              <w:t>29,95</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CD3634" w:rsidRDefault="008F715D" w:rsidP="002105A0">
            <w:pPr>
              <w:jc w:val="center"/>
              <w:rPr>
                <w:color w:val="000000"/>
                <w:szCs w:val="20"/>
              </w:rPr>
            </w:pPr>
            <w:r w:rsidRPr="00CD3634">
              <w:rPr>
                <w:color w:val="000000"/>
                <w:sz w:val="22"/>
                <w:szCs w:val="20"/>
              </w:rPr>
              <w:t>30,62</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CD3634" w:rsidRDefault="008F715D" w:rsidP="002105A0">
            <w:pPr>
              <w:jc w:val="center"/>
              <w:rPr>
                <w:szCs w:val="20"/>
              </w:rPr>
            </w:pPr>
            <w:r w:rsidRPr="00CD3634">
              <w:rPr>
                <w:sz w:val="22"/>
                <w:szCs w:val="20"/>
              </w:rPr>
              <w:t>2,2%</w:t>
            </w:r>
          </w:p>
        </w:tc>
      </w:tr>
    </w:tbl>
    <w:p w:rsidR="008F715D" w:rsidRPr="00CD3634" w:rsidRDefault="008F715D" w:rsidP="008F715D">
      <w:pPr>
        <w:contextualSpacing/>
        <w:jc w:val="both"/>
        <w:rPr>
          <w:rFonts w:asciiTheme="majorBidi" w:hAnsiTheme="majorBidi" w:cstheme="majorBidi"/>
          <w:b/>
          <w:bCs/>
          <w:i/>
          <w:iCs/>
          <w:sz w:val="16"/>
          <w:szCs w:val="16"/>
        </w:rPr>
      </w:pPr>
      <w:r w:rsidRPr="00CD3634">
        <w:rPr>
          <w:rFonts w:asciiTheme="majorBidi" w:hAnsiTheme="majorBidi" w:cstheme="majorBidi"/>
          <w:b/>
          <w:bCs/>
          <w:i/>
          <w:iCs/>
          <w:sz w:val="16"/>
          <w:szCs w:val="16"/>
        </w:rPr>
        <w:t>Sources : Pharmagabon, Ubifarmgabon</w:t>
      </w:r>
    </w:p>
    <w:p w:rsidR="008F715D" w:rsidRPr="00125AFA" w:rsidRDefault="008F715D" w:rsidP="008F715D">
      <w:pPr>
        <w:jc w:val="both"/>
        <w:rPr>
          <w:rFonts w:asciiTheme="majorBidi" w:hAnsiTheme="majorBidi" w:cstheme="majorBidi"/>
        </w:rPr>
      </w:pPr>
    </w:p>
    <w:p w:rsidR="008F715D" w:rsidRPr="00125AFA" w:rsidRDefault="008F715D" w:rsidP="008F715D">
      <w:pPr>
        <w:pStyle w:val="Titre2"/>
        <w:rPr>
          <w:rFonts w:asciiTheme="majorBidi" w:hAnsiTheme="majorBidi" w:cstheme="majorBidi"/>
          <w:b/>
          <w:bCs/>
          <w:i w:val="0"/>
          <w:color w:val="0000FF"/>
          <w:sz w:val="24"/>
        </w:rPr>
      </w:pPr>
      <w:bookmarkStart w:id="213" w:name="_Toc420027540"/>
      <w:bookmarkStart w:id="214" w:name="_Toc462990842"/>
      <w:r>
        <w:rPr>
          <w:rFonts w:asciiTheme="majorBidi" w:hAnsiTheme="majorBidi" w:cstheme="majorBidi"/>
          <w:b/>
          <w:bCs/>
          <w:i w:val="0"/>
          <w:color w:val="0000FF"/>
          <w:sz w:val="24"/>
        </w:rPr>
        <w:t>I</w:t>
      </w:r>
      <w:r w:rsidRPr="00125AFA">
        <w:rPr>
          <w:rFonts w:asciiTheme="majorBidi" w:hAnsiTheme="majorBidi" w:cstheme="majorBidi"/>
          <w:b/>
          <w:bCs/>
          <w:i w:val="0"/>
          <w:color w:val="0000FF"/>
          <w:sz w:val="24"/>
        </w:rPr>
        <w:t>I.1</w:t>
      </w:r>
      <w:r>
        <w:rPr>
          <w:rFonts w:asciiTheme="majorBidi" w:hAnsiTheme="majorBidi" w:cstheme="majorBidi"/>
          <w:b/>
          <w:bCs/>
          <w:i w:val="0"/>
          <w:color w:val="0000FF"/>
          <w:sz w:val="24"/>
        </w:rPr>
        <w:t xml:space="preserve">6. </w:t>
      </w:r>
      <w:r w:rsidRPr="00125AFA">
        <w:rPr>
          <w:rFonts w:asciiTheme="majorBidi" w:hAnsiTheme="majorBidi" w:cstheme="majorBidi"/>
          <w:b/>
          <w:bCs/>
          <w:i w:val="0"/>
          <w:color w:val="0000FF"/>
          <w:sz w:val="24"/>
        </w:rPr>
        <w:t>LES SERVICES</w:t>
      </w:r>
      <w:bookmarkEnd w:id="210"/>
      <w:bookmarkEnd w:id="211"/>
      <w:bookmarkEnd w:id="212"/>
      <w:bookmarkEnd w:id="213"/>
      <w:bookmarkEnd w:id="214"/>
    </w:p>
    <w:p w:rsidR="008F715D" w:rsidRDefault="008F715D" w:rsidP="008F715D"/>
    <w:p w:rsidR="008F715D" w:rsidRPr="0030291C" w:rsidRDefault="008F715D" w:rsidP="008F715D">
      <w:pPr>
        <w:jc w:val="both"/>
      </w:pPr>
      <w:r>
        <w:t xml:space="preserve">A la fin du premier semestre </w:t>
      </w:r>
      <w:r w:rsidRPr="001A299D">
        <w:t>2016</w:t>
      </w:r>
      <w:r>
        <w:t>, le secteur des autres services a enregistré globalement une baisse de 1,4</w:t>
      </w:r>
      <w:r w:rsidRPr="001A299D">
        <w:t>%</w:t>
      </w:r>
      <w:r>
        <w:t xml:space="preserve"> du chiffre d’affaires, malgré le relèvement observé dans la branche des services immobiliers.</w:t>
      </w:r>
    </w:p>
    <w:p w:rsidR="008F715D" w:rsidRDefault="008F715D" w:rsidP="008F715D">
      <w:pPr>
        <w:jc w:val="both"/>
        <w:rPr>
          <w:rFonts w:asciiTheme="majorBidi" w:hAnsiTheme="majorBidi" w:cstheme="majorBidi"/>
        </w:rPr>
      </w:pPr>
    </w:p>
    <w:p w:rsidR="008F715D" w:rsidRPr="00E03639" w:rsidRDefault="008F715D" w:rsidP="008F715D">
      <w:pPr>
        <w:jc w:val="both"/>
        <w:rPr>
          <w:rFonts w:asciiTheme="majorBidi" w:hAnsiTheme="majorBidi" w:cstheme="majorBidi"/>
        </w:rPr>
      </w:pPr>
    </w:p>
    <w:p w:rsidR="008F715D" w:rsidRPr="00125AFA" w:rsidRDefault="008F715D" w:rsidP="008F715D">
      <w:pPr>
        <w:pStyle w:val="Titre3"/>
        <w:ind w:firstLine="0"/>
        <w:rPr>
          <w:rFonts w:asciiTheme="majorBidi" w:hAnsiTheme="majorBidi" w:cstheme="majorBidi"/>
          <w:b/>
          <w:bCs/>
          <w:i/>
          <w:iCs/>
          <w:color w:val="0000FF"/>
          <w:sz w:val="24"/>
        </w:rPr>
      </w:pPr>
      <w:bookmarkStart w:id="215" w:name="_Toc462990843"/>
      <w:r>
        <w:rPr>
          <w:rFonts w:asciiTheme="majorBidi" w:hAnsiTheme="majorBidi" w:cstheme="majorBidi"/>
          <w:b/>
          <w:bCs/>
          <w:i/>
          <w:iCs/>
          <w:color w:val="0000FF"/>
          <w:sz w:val="24"/>
        </w:rPr>
        <w:t>I</w:t>
      </w:r>
      <w:r w:rsidRPr="00125AFA">
        <w:rPr>
          <w:rFonts w:asciiTheme="majorBidi" w:hAnsiTheme="majorBidi" w:cstheme="majorBidi"/>
          <w:b/>
          <w:bCs/>
          <w:i/>
          <w:iCs/>
          <w:color w:val="0000FF"/>
          <w:sz w:val="24"/>
        </w:rPr>
        <w:t>I.1</w:t>
      </w:r>
      <w:r>
        <w:rPr>
          <w:rFonts w:asciiTheme="majorBidi" w:hAnsiTheme="majorBidi" w:cstheme="majorBidi"/>
          <w:b/>
          <w:bCs/>
          <w:i/>
          <w:iCs/>
          <w:color w:val="0000FF"/>
          <w:sz w:val="24"/>
        </w:rPr>
        <w:t>6</w:t>
      </w:r>
      <w:r w:rsidRPr="00125AFA">
        <w:rPr>
          <w:rFonts w:asciiTheme="majorBidi" w:hAnsiTheme="majorBidi" w:cstheme="majorBidi"/>
          <w:b/>
          <w:bCs/>
          <w:i/>
          <w:iCs/>
          <w:color w:val="0000FF"/>
          <w:sz w:val="24"/>
        </w:rPr>
        <w:t>.1. Les services rendus aux entreprises</w:t>
      </w:r>
      <w:bookmarkEnd w:id="215"/>
    </w:p>
    <w:p w:rsidR="008F715D" w:rsidRPr="00125AFA" w:rsidRDefault="008F715D" w:rsidP="008F715D">
      <w:pPr>
        <w:jc w:val="both"/>
        <w:rPr>
          <w:rFonts w:asciiTheme="majorBidi" w:hAnsiTheme="majorBidi" w:cstheme="majorBidi"/>
        </w:rPr>
      </w:pPr>
    </w:p>
    <w:p w:rsidR="008F715D" w:rsidRPr="00B06894" w:rsidRDefault="008F715D" w:rsidP="008F715D">
      <w:pPr>
        <w:jc w:val="both"/>
        <w:rPr>
          <w:rFonts w:asciiTheme="majorBidi" w:hAnsiTheme="majorBidi" w:cstheme="majorBidi"/>
        </w:rPr>
      </w:pPr>
      <w:bookmarkStart w:id="216" w:name="_Toc356891338"/>
      <w:bookmarkStart w:id="217" w:name="_Toc389653162"/>
      <w:bookmarkStart w:id="218" w:name="_Toc389653390"/>
      <w:bookmarkStart w:id="219" w:name="_Toc397691629"/>
      <w:r w:rsidRPr="00B06894">
        <w:rPr>
          <w:rFonts w:asciiTheme="majorBidi" w:hAnsiTheme="majorBidi" w:cstheme="majorBidi"/>
        </w:rPr>
        <w:t>L’activité de la branche des services rendus aux entreprises a régressé de 2,8% pour un chiffre d’affaires de 21,5 milliards de FCFA, en raison du tassement des prestations des cabinets juridiques et fiscaux et de certaines agences en conseil et management.</w:t>
      </w:r>
    </w:p>
    <w:p w:rsidR="008F715D" w:rsidRPr="00B06894" w:rsidRDefault="008F715D" w:rsidP="008F715D">
      <w:pPr>
        <w:jc w:val="both"/>
        <w:rPr>
          <w:rFonts w:asciiTheme="majorBidi" w:hAnsiTheme="majorBidi" w:cstheme="majorBidi"/>
        </w:rPr>
      </w:pPr>
    </w:p>
    <w:p w:rsidR="008F715D" w:rsidRPr="00B06894" w:rsidRDefault="008F715D" w:rsidP="008F715D">
      <w:pPr>
        <w:jc w:val="both"/>
        <w:rPr>
          <w:rFonts w:asciiTheme="majorBidi" w:hAnsiTheme="majorBidi" w:cstheme="majorBidi"/>
          <w:b/>
          <w:bCs/>
          <w:i/>
        </w:rPr>
      </w:pPr>
      <w:r w:rsidRPr="00B06894">
        <w:rPr>
          <w:rFonts w:asciiTheme="majorBidi" w:hAnsiTheme="majorBidi" w:cstheme="majorBidi"/>
          <w:b/>
          <w:bCs/>
          <w:i/>
        </w:rPr>
        <w:t>Evolution de l’activité des services rendus aux entreprises</w:t>
      </w:r>
    </w:p>
    <w:tbl>
      <w:tblPr>
        <w:tblW w:w="8662" w:type="dxa"/>
        <w:tblInd w:w="55" w:type="dxa"/>
        <w:tblLayout w:type="fixed"/>
        <w:tblCellMar>
          <w:left w:w="70" w:type="dxa"/>
          <w:right w:w="70" w:type="dxa"/>
        </w:tblCellMar>
        <w:tblLook w:val="04A0"/>
      </w:tblPr>
      <w:tblGrid>
        <w:gridCol w:w="4840"/>
        <w:gridCol w:w="1274"/>
        <w:gridCol w:w="1274"/>
        <w:gridCol w:w="1274"/>
      </w:tblGrid>
      <w:tr w:rsidR="008F715D" w:rsidRPr="00B06894"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B06894" w:rsidRDefault="008F715D" w:rsidP="002105A0">
            <w:pPr>
              <w:rPr>
                <w:rFonts w:asciiTheme="majorBidi" w:hAnsiTheme="majorBidi" w:cstheme="majorBidi"/>
                <w:color w:val="000000"/>
              </w:rPr>
            </w:pPr>
            <w:r w:rsidRPr="00B06894">
              <w:rPr>
                <w:rFonts w:asciiTheme="majorBidi" w:hAnsiTheme="majorBidi" w:cstheme="majorBidi"/>
                <w:color w:val="000000"/>
              </w:rPr>
              <w:t> </w:t>
            </w:r>
          </w:p>
        </w:tc>
        <w:tc>
          <w:tcPr>
            <w:tcW w:w="3822"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B06894" w:rsidRDefault="008F715D" w:rsidP="002105A0">
            <w:pPr>
              <w:jc w:val="center"/>
              <w:rPr>
                <w:rFonts w:asciiTheme="majorBidi" w:hAnsiTheme="majorBidi" w:cstheme="majorBidi"/>
                <w:color w:val="000000"/>
              </w:rPr>
            </w:pPr>
            <w:r w:rsidRPr="00B06894">
              <w:rPr>
                <w:rFonts w:asciiTheme="majorBidi" w:hAnsiTheme="majorBidi" w:cstheme="majorBidi"/>
                <w:color w:val="000000"/>
              </w:rPr>
              <w:t>Premier semestre</w:t>
            </w:r>
          </w:p>
        </w:tc>
      </w:tr>
      <w:tr w:rsidR="008F715D" w:rsidRPr="00B06894"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B06894" w:rsidRDefault="008F715D" w:rsidP="002105A0">
            <w:pPr>
              <w:rPr>
                <w:rFonts w:asciiTheme="majorBidi" w:hAnsiTheme="majorBidi" w:cstheme="majorBidi"/>
                <w:color w:val="000000"/>
              </w:rPr>
            </w:pPr>
            <w:r w:rsidRPr="00B06894">
              <w:rPr>
                <w:rFonts w:asciiTheme="majorBidi" w:hAnsiTheme="majorBidi" w:cstheme="majorBidi"/>
                <w:color w:val="000000"/>
              </w:rPr>
              <w:t> </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B06894" w:rsidRDefault="008F715D" w:rsidP="002105A0">
            <w:pPr>
              <w:jc w:val="center"/>
              <w:rPr>
                <w:rFonts w:asciiTheme="majorBidi" w:hAnsiTheme="majorBidi" w:cstheme="majorBidi"/>
                <w:color w:val="000000"/>
              </w:rPr>
            </w:pPr>
            <w:r w:rsidRPr="00B06894">
              <w:rPr>
                <w:rFonts w:asciiTheme="majorBidi" w:hAnsiTheme="majorBidi" w:cstheme="majorBidi"/>
                <w:color w:val="000000"/>
              </w:rPr>
              <w:t>2015</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B06894" w:rsidRDefault="008F715D" w:rsidP="002105A0">
            <w:pPr>
              <w:jc w:val="center"/>
              <w:rPr>
                <w:rFonts w:asciiTheme="majorBidi" w:hAnsiTheme="majorBidi" w:cstheme="majorBidi"/>
                <w:color w:val="000000"/>
              </w:rPr>
            </w:pPr>
            <w:r w:rsidRPr="00B06894">
              <w:rPr>
                <w:rFonts w:asciiTheme="majorBidi" w:hAnsiTheme="majorBidi" w:cstheme="majorBidi"/>
                <w:color w:val="000000"/>
              </w:rPr>
              <w:t>2016</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B06894" w:rsidRDefault="008F715D" w:rsidP="002105A0">
            <w:pPr>
              <w:jc w:val="center"/>
              <w:rPr>
                <w:rFonts w:asciiTheme="majorBidi" w:hAnsiTheme="majorBidi" w:cstheme="majorBidi"/>
              </w:rPr>
            </w:pPr>
            <w:r w:rsidRPr="00B06894">
              <w:rPr>
                <w:rFonts w:asciiTheme="majorBidi" w:hAnsiTheme="majorBidi" w:cstheme="majorBidi"/>
              </w:rPr>
              <w:t>Var 16/15</w:t>
            </w:r>
          </w:p>
        </w:tc>
      </w:tr>
      <w:tr w:rsidR="008F715D" w:rsidRPr="00B06894"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06894" w:rsidRDefault="008F715D" w:rsidP="002105A0">
            <w:pPr>
              <w:rPr>
                <w:rFonts w:asciiTheme="majorBidi" w:hAnsiTheme="majorBidi" w:cstheme="majorBidi"/>
              </w:rPr>
            </w:pPr>
            <w:r w:rsidRPr="00B06894">
              <w:rPr>
                <w:rFonts w:asciiTheme="majorBidi" w:hAnsiTheme="majorBidi" w:cstheme="majorBidi"/>
              </w:rPr>
              <w:t>Chiffre d’affaires (en millions de FCFA)</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B06894" w:rsidRDefault="008F715D" w:rsidP="002105A0">
            <w:pPr>
              <w:jc w:val="center"/>
              <w:rPr>
                <w:rFonts w:asciiTheme="majorBidi" w:hAnsiTheme="majorBidi" w:cstheme="majorBidi"/>
                <w:color w:val="000000"/>
              </w:rPr>
            </w:pPr>
            <w:r w:rsidRPr="00B06894">
              <w:rPr>
                <w:rFonts w:asciiTheme="majorBidi" w:hAnsiTheme="majorBidi" w:cstheme="majorBidi"/>
                <w:color w:val="000000"/>
              </w:rPr>
              <w:t>22 097</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B06894" w:rsidRDefault="008F715D" w:rsidP="002105A0">
            <w:pPr>
              <w:jc w:val="center"/>
              <w:rPr>
                <w:rFonts w:asciiTheme="majorBidi" w:hAnsiTheme="majorBidi" w:cstheme="majorBidi"/>
                <w:color w:val="000000"/>
              </w:rPr>
            </w:pPr>
            <w:r w:rsidRPr="00B06894">
              <w:rPr>
                <w:rFonts w:asciiTheme="majorBidi" w:hAnsiTheme="majorBidi" w:cstheme="majorBidi"/>
                <w:color w:val="000000"/>
              </w:rPr>
              <w:t>21 469</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B06894" w:rsidRDefault="008F715D" w:rsidP="002105A0">
            <w:pPr>
              <w:jc w:val="center"/>
              <w:rPr>
                <w:rFonts w:asciiTheme="majorBidi" w:hAnsiTheme="majorBidi" w:cstheme="majorBidi"/>
                <w:color w:val="FF0000"/>
              </w:rPr>
            </w:pPr>
            <w:r w:rsidRPr="00B06894">
              <w:rPr>
                <w:rFonts w:asciiTheme="majorBidi" w:hAnsiTheme="majorBidi" w:cstheme="majorBidi"/>
                <w:color w:val="FF0000"/>
              </w:rPr>
              <w:t>-2,8%</w:t>
            </w:r>
          </w:p>
        </w:tc>
      </w:tr>
    </w:tbl>
    <w:p w:rsidR="008F715D" w:rsidRPr="00B06894" w:rsidRDefault="008F715D" w:rsidP="008F715D">
      <w:pPr>
        <w:jc w:val="both"/>
        <w:rPr>
          <w:rFonts w:asciiTheme="majorBidi" w:hAnsiTheme="majorBidi" w:cstheme="majorBidi"/>
          <w:bCs/>
        </w:rPr>
      </w:pPr>
      <w:r w:rsidRPr="00B06894">
        <w:rPr>
          <w:rFonts w:asciiTheme="majorBidi" w:hAnsiTheme="majorBidi" w:cstheme="majorBidi"/>
          <w:b/>
          <w:bCs/>
          <w:i/>
          <w:iCs/>
          <w:color w:val="000000"/>
          <w:sz w:val="16"/>
          <w:szCs w:val="16"/>
        </w:rPr>
        <w:t>Sources : Ernst &amp; Young, Bureau Veritas, FEAG, GBM, PWC, PWC Tax &amp; Legal, CIS, Averda, CFAO Technologie Gabon, Deloitte Tohmatsu, Deloitte juridique &amp; fiscal, SGS.</w:t>
      </w:r>
    </w:p>
    <w:p w:rsidR="008F715D" w:rsidRPr="00B06894" w:rsidRDefault="008F715D" w:rsidP="008F715D">
      <w:pPr>
        <w:rPr>
          <w:rFonts w:asciiTheme="majorBidi" w:hAnsiTheme="majorBidi" w:cstheme="majorBidi"/>
        </w:rPr>
      </w:pPr>
    </w:p>
    <w:p w:rsidR="008F715D" w:rsidRPr="00B06894" w:rsidRDefault="008F715D" w:rsidP="008F715D">
      <w:pPr>
        <w:pStyle w:val="Titre3"/>
        <w:ind w:firstLine="0"/>
        <w:rPr>
          <w:rFonts w:asciiTheme="majorBidi" w:hAnsiTheme="majorBidi" w:cstheme="majorBidi"/>
          <w:b/>
          <w:bCs/>
          <w:i/>
          <w:iCs/>
          <w:color w:val="0000FF"/>
          <w:sz w:val="24"/>
        </w:rPr>
      </w:pPr>
      <w:bookmarkStart w:id="220" w:name="_Toc420027542"/>
      <w:bookmarkStart w:id="221" w:name="_Toc462990844"/>
      <w:r>
        <w:rPr>
          <w:rFonts w:asciiTheme="majorBidi" w:hAnsiTheme="majorBidi" w:cstheme="majorBidi"/>
          <w:b/>
          <w:bCs/>
          <w:i/>
          <w:iCs/>
          <w:color w:val="0000FF"/>
          <w:sz w:val="24"/>
        </w:rPr>
        <w:t>I</w:t>
      </w:r>
      <w:r w:rsidRPr="00B06894">
        <w:rPr>
          <w:rFonts w:asciiTheme="majorBidi" w:hAnsiTheme="majorBidi" w:cstheme="majorBidi"/>
          <w:b/>
          <w:bCs/>
          <w:i/>
          <w:iCs/>
          <w:color w:val="0000FF"/>
          <w:sz w:val="24"/>
        </w:rPr>
        <w:t>I.1</w:t>
      </w:r>
      <w:r>
        <w:rPr>
          <w:rFonts w:asciiTheme="majorBidi" w:hAnsiTheme="majorBidi" w:cstheme="majorBidi"/>
          <w:b/>
          <w:bCs/>
          <w:i/>
          <w:iCs/>
          <w:color w:val="0000FF"/>
          <w:sz w:val="24"/>
        </w:rPr>
        <w:t>6</w:t>
      </w:r>
      <w:r w:rsidRPr="00B06894">
        <w:rPr>
          <w:rFonts w:asciiTheme="majorBidi" w:hAnsiTheme="majorBidi" w:cstheme="majorBidi"/>
          <w:b/>
          <w:bCs/>
          <w:i/>
          <w:iCs/>
          <w:color w:val="0000FF"/>
          <w:sz w:val="24"/>
        </w:rPr>
        <w:t>.2. Les services rendus aux particuliers</w:t>
      </w:r>
      <w:bookmarkEnd w:id="216"/>
      <w:bookmarkEnd w:id="217"/>
      <w:bookmarkEnd w:id="218"/>
      <w:bookmarkEnd w:id="219"/>
      <w:bookmarkEnd w:id="220"/>
      <w:bookmarkEnd w:id="221"/>
    </w:p>
    <w:p w:rsidR="008F715D" w:rsidRPr="00B06894"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rPr>
      </w:pPr>
      <w:r w:rsidRPr="00B06894">
        <w:rPr>
          <w:rFonts w:asciiTheme="majorBidi" w:hAnsiTheme="majorBidi" w:cstheme="majorBidi"/>
        </w:rPr>
        <w:t>La faiblesse de la demande des services rendus aux particuliers a induit un repli du chiffre d’affaires de cette branche de 1,7% pour un montant de 24,1 milliards de FCFA au cours du premier semestre 2016.</w:t>
      </w:r>
    </w:p>
    <w:p w:rsidR="008F715D"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b/>
          <w:bCs/>
          <w:i/>
          <w:iCs/>
          <w:color w:val="000000"/>
        </w:rPr>
      </w:pPr>
      <w:r w:rsidRPr="00E03639">
        <w:rPr>
          <w:rFonts w:asciiTheme="majorBidi" w:hAnsiTheme="majorBidi" w:cstheme="majorBidi"/>
          <w:b/>
          <w:bCs/>
          <w:i/>
          <w:iCs/>
          <w:color w:val="000000"/>
        </w:rPr>
        <w:t xml:space="preserve">Evolution de l'activité des services </w:t>
      </w:r>
      <w:r>
        <w:rPr>
          <w:rFonts w:asciiTheme="majorBidi" w:hAnsiTheme="majorBidi" w:cstheme="majorBidi"/>
          <w:b/>
          <w:bCs/>
          <w:i/>
          <w:iCs/>
          <w:color w:val="000000"/>
        </w:rPr>
        <w:t>aux particuliers</w:t>
      </w:r>
    </w:p>
    <w:tbl>
      <w:tblPr>
        <w:tblW w:w="8662" w:type="dxa"/>
        <w:tblInd w:w="55" w:type="dxa"/>
        <w:tblLayout w:type="fixed"/>
        <w:tblCellMar>
          <w:left w:w="70" w:type="dxa"/>
          <w:right w:w="70" w:type="dxa"/>
        </w:tblCellMar>
        <w:tblLook w:val="04A0"/>
      </w:tblPr>
      <w:tblGrid>
        <w:gridCol w:w="4840"/>
        <w:gridCol w:w="1274"/>
        <w:gridCol w:w="1274"/>
        <w:gridCol w:w="1274"/>
      </w:tblGrid>
      <w:tr w:rsidR="008F715D" w:rsidRPr="00F4776C"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F4776C" w:rsidRDefault="008F715D" w:rsidP="002105A0">
            <w:pPr>
              <w:rPr>
                <w:color w:val="000000"/>
              </w:rPr>
            </w:pPr>
            <w:r w:rsidRPr="00F4776C">
              <w:rPr>
                <w:color w:val="000000"/>
              </w:rPr>
              <w:t> </w:t>
            </w:r>
          </w:p>
        </w:tc>
        <w:tc>
          <w:tcPr>
            <w:tcW w:w="3822"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Premier semestre</w:t>
            </w:r>
          </w:p>
        </w:tc>
      </w:tr>
      <w:tr w:rsidR="008F715D" w:rsidRPr="00F4776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F4776C" w:rsidRDefault="008F715D" w:rsidP="002105A0">
            <w:pPr>
              <w:rPr>
                <w:color w:val="000000"/>
              </w:rPr>
            </w:pPr>
            <w:r w:rsidRPr="00F4776C">
              <w:rPr>
                <w:color w:val="000000"/>
              </w:rPr>
              <w:t> </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2015</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2016</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pPr>
            <w:r w:rsidRPr="00F4776C">
              <w:t>Var 16/15</w:t>
            </w:r>
          </w:p>
        </w:tc>
      </w:tr>
      <w:tr w:rsidR="008F715D" w:rsidRPr="00F4776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vAlign w:val="center"/>
            <w:hideMark/>
          </w:tcPr>
          <w:p w:rsidR="008F715D" w:rsidRPr="00F4776C" w:rsidRDefault="008F715D" w:rsidP="002105A0">
            <w:r w:rsidRPr="00F4776C">
              <w:t>Chiffre d’affaires (en millions de FCFA)</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24 481</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24 069</w:t>
            </w:r>
          </w:p>
        </w:tc>
        <w:tc>
          <w:tcPr>
            <w:tcW w:w="1274"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FF0000"/>
              </w:rPr>
            </w:pPr>
            <w:r w:rsidRPr="00F4776C">
              <w:rPr>
                <w:color w:val="FF0000"/>
              </w:rPr>
              <w:t>-1,7%</w:t>
            </w:r>
          </w:p>
        </w:tc>
      </w:tr>
    </w:tbl>
    <w:p w:rsidR="008F715D" w:rsidRPr="00E03639" w:rsidRDefault="008F715D" w:rsidP="008F715D">
      <w:pPr>
        <w:jc w:val="both"/>
        <w:rPr>
          <w:rFonts w:asciiTheme="majorBidi" w:hAnsiTheme="majorBidi" w:cstheme="majorBidi"/>
          <w:b/>
          <w:bCs/>
          <w:i/>
          <w:iCs/>
          <w:color w:val="000000"/>
          <w:sz w:val="16"/>
          <w:szCs w:val="16"/>
        </w:rPr>
      </w:pPr>
      <w:r w:rsidRPr="007B56DA">
        <w:rPr>
          <w:rFonts w:asciiTheme="majorBidi" w:hAnsiTheme="majorBidi" w:cstheme="majorBidi"/>
          <w:b/>
          <w:bCs/>
          <w:i/>
          <w:iCs/>
          <w:color w:val="000000"/>
          <w:sz w:val="16"/>
          <w:szCs w:val="16"/>
        </w:rPr>
        <w:t xml:space="preserve">Sources : Gesparc, Pmug, SGJL, SGCL, Franstel, Casepga, Gabosep, SAAF la Colombe, Médical optique, </w:t>
      </w:r>
      <w:r w:rsidRPr="00E03639">
        <w:rPr>
          <w:rFonts w:asciiTheme="majorBidi" w:hAnsiTheme="majorBidi" w:cstheme="majorBidi"/>
          <w:b/>
          <w:bCs/>
          <w:i/>
          <w:iCs/>
          <w:color w:val="000000"/>
          <w:sz w:val="16"/>
          <w:szCs w:val="16"/>
        </w:rPr>
        <w:t>Polyclinique El rapha, Labo Color, Cabinet de Groupe</w:t>
      </w:r>
      <w:r>
        <w:rPr>
          <w:rFonts w:asciiTheme="majorBidi" w:hAnsiTheme="majorBidi" w:cstheme="majorBidi"/>
          <w:b/>
          <w:bCs/>
          <w:i/>
          <w:iCs/>
          <w:color w:val="000000"/>
          <w:sz w:val="16"/>
          <w:szCs w:val="16"/>
        </w:rPr>
        <w:t xml:space="preserve"> des M</w:t>
      </w:r>
      <w:r w:rsidRPr="00E03639">
        <w:rPr>
          <w:rFonts w:asciiTheme="majorBidi" w:hAnsiTheme="majorBidi" w:cstheme="majorBidi"/>
          <w:b/>
          <w:bCs/>
          <w:i/>
          <w:iCs/>
          <w:color w:val="000000"/>
          <w:sz w:val="16"/>
          <w:szCs w:val="16"/>
        </w:rPr>
        <w:t>édecins</w:t>
      </w:r>
    </w:p>
    <w:p w:rsidR="008F715D" w:rsidRPr="00CB1F5B" w:rsidRDefault="008F715D" w:rsidP="008F715D">
      <w:pPr>
        <w:jc w:val="both"/>
        <w:rPr>
          <w:rFonts w:asciiTheme="majorBidi" w:hAnsiTheme="majorBidi" w:cstheme="majorBidi"/>
        </w:rPr>
      </w:pPr>
    </w:p>
    <w:p w:rsidR="008F715D" w:rsidRPr="00125AFA" w:rsidRDefault="008F715D" w:rsidP="008F715D">
      <w:pPr>
        <w:pStyle w:val="Titre3"/>
        <w:ind w:firstLine="0"/>
        <w:rPr>
          <w:rFonts w:asciiTheme="majorBidi" w:hAnsiTheme="majorBidi" w:cstheme="majorBidi"/>
          <w:b/>
          <w:bCs/>
          <w:i/>
          <w:iCs/>
          <w:color w:val="0000FF"/>
          <w:sz w:val="24"/>
        </w:rPr>
      </w:pPr>
      <w:bookmarkStart w:id="222" w:name="_Toc389653163"/>
      <w:bookmarkStart w:id="223" w:name="_Toc389653391"/>
      <w:bookmarkStart w:id="224" w:name="_Toc397691630"/>
      <w:bookmarkStart w:id="225" w:name="_Toc420027543"/>
      <w:bookmarkStart w:id="226" w:name="_Toc462990845"/>
      <w:r>
        <w:rPr>
          <w:rFonts w:asciiTheme="majorBidi" w:hAnsiTheme="majorBidi" w:cstheme="majorBidi"/>
          <w:b/>
          <w:bCs/>
          <w:i/>
          <w:iCs/>
          <w:color w:val="0000FF"/>
          <w:sz w:val="24"/>
        </w:rPr>
        <w:t>I</w:t>
      </w:r>
      <w:r w:rsidRPr="00125AFA">
        <w:rPr>
          <w:rFonts w:asciiTheme="majorBidi" w:hAnsiTheme="majorBidi" w:cstheme="majorBidi"/>
          <w:b/>
          <w:bCs/>
          <w:i/>
          <w:iCs/>
          <w:color w:val="0000FF"/>
          <w:sz w:val="24"/>
        </w:rPr>
        <w:t>I.1</w:t>
      </w:r>
      <w:r>
        <w:rPr>
          <w:rFonts w:asciiTheme="majorBidi" w:hAnsiTheme="majorBidi" w:cstheme="majorBidi"/>
          <w:b/>
          <w:bCs/>
          <w:i/>
          <w:iCs/>
          <w:color w:val="0000FF"/>
          <w:sz w:val="24"/>
        </w:rPr>
        <w:t>6</w:t>
      </w:r>
      <w:r w:rsidRPr="00125AFA">
        <w:rPr>
          <w:rFonts w:asciiTheme="majorBidi" w:hAnsiTheme="majorBidi" w:cstheme="majorBidi"/>
          <w:b/>
          <w:bCs/>
          <w:i/>
          <w:iCs/>
          <w:color w:val="0000FF"/>
          <w:sz w:val="24"/>
        </w:rPr>
        <w:t>.3. Les services immobiliers</w:t>
      </w:r>
      <w:bookmarkEnd w:id="222"/>
      <w:bookmarkEnd w:id="223"/>
      <w:bookmarkEnd w:id="224"/>
      <w:bookmarkEnd w:id="225"/>
      <w:bookmarkEnd w:id="226"/>
    </w:p>
    <w:p w:rsidR="008F715D" w:rsidRPr="00125AFA" w:rsidRDefault="008F715D" w:rsidP="008F715D">
      <w:pPr>
        <w:jc w:val="both"/>
        <w:rPr>
          <w:rFonts w:asciiTheme="majorBidi" w:hAnsiTheme="majorBidi" w:cstheme="majorBidi"/>
          <w:bCs/>
        </w:rPr>
      </w:pPr>
    </w:p>
    <w:p w:rsidR="008F715D" w:rsidRDefault="008F715D" w:rsidP="008F715D">
      <w:pPr>
        <w:jc w:val="both"/>
        <w:rPr>
          <w:rFonts w:asciiTheme="majorBidi" w:hAnsiTheme="majorBidi" w:cstheme="majorBidi"/>
        </w:rPr>
      </w:pPr>
      <w:r w:rsidRPr="00E03639">
        <w:rPr>
          <w:rFonts w:asciiTheme="majorBidi" w:hAnsiTheme="majorBidi" w:cstheme="majorBidi"/>
        </w:rPr>
        <w:t xml:space="preserve">La branche </w:t>
      </w:r>
      <w:r>
        <w:rPr>
          <w:rFonts w:asciiTheme="majorBidi" w:hAnsiTheme="majorBidi" w:cstheme="majorBidi"/>
        </w:rPr>
        <w:t xml:space="preserve">des services </w:t>
      </w:r>
      <w:r w:rsidRPr="00E03639">
        <w:rPr>
          <w:rFonts w:asciiTheme="majorBidi" w:hAnsiTheme="majorBidi" w:cstheme="majorBidi"/>
        </w:rPr>
        <w:t>immobili</w:t>
      </w:r>
      <w:r>
        <w:rPr>
          <w:rFonts w:asciiTheme="majorBidi" w:hAnsiTheme="majorBidi" w:cstheme="majorBidi"/>
        </w:rPr>
        <w:t>e</w:t>
      </w:r>
      <w:r w:rsidRPr="00E03639">
        <w:rPr>
          <w:rFonts w:asciiTheme="majorBidi" w:hAnsiTheme="majorBidi" w:cstheme="majorBidi"/>
        </w:rPr>
        <w:t>r</w:t>
      </w:r>
      <w:r>
        <w:rPr>
          <w:rFonts w:asciiTheme="majorBidi" w:hAnsiTheme="majorBidi" w:cstheme="majorBidi"/>
        </w:rPr>
        <w:t>s</w:t>
      </w:r>
      <w:r w:rsidRPr="00E03639">
        <w:rPr>
          <w:rFonts w:asciiTheme="majorBidi" w:hAnsiTheme="majorBidi" w:cstheme="majorBidi"/>
        </w:rPr>
        <w:t xml:space="preserve"> </w:t>
      </w:r>
      <w:r>
        <w:rPr>
          <w:rFonts w:asciiTheme="majorBidi" w:hAnsiTheme="majorBidi" w:cstheme="majorBidi"/>
        </w:rPr>
        <w:t xml:space="preserve">a connu </w:t>
      </w:r>
      <w:r w:rsidRPr="00E03639">
        <w:rPr>
          <w:rFonts w:asciiTheme="majorBidi" w:hAnsiTheme="majorBidi" w:cstheme="majorBidi"/>
        </w:rPr>
        <w:t>un regain d</w:t>
      </w:r>
      <w:r>
        <w:rPr>
          <w:rFonts w:asciiTheme="majorBidi" w:hAnsiTheme="majorBidi" w:cstheme="majorBidi"/>
        </w:rPr>
        <w:t>’</w:t>
      </w:r>
      <w:r w:rsidRPr="00E03639">
        <w:rPr>
          <w:rFonts w:asciiTheme="majorBidi" w:hAnsiTheme="majorBidi" w:cstheme="majorBidi"/>
        </w:rPr>
        <w:t xml:space="preserve">activité, </w:t>
      </w:r>
      <w:r>
        <w:rPr>
          <w:rFonts w:asciiTheme="majorBidi" w:hAnsiTheme="majorBidi" w:cstheme="majorBidi"/>
        </w:rPr>
        <w:t>en raison de la progression du volume des transactions locatives et du relèvement des prix des loyers, induit par le déficit en logement. Ainsi, le</w:t>
      </w:r>
      <w:r w:rsidRPr="00E03639">
        <w:rPr>
          <w:rFonts w:asciiTheme="majorBidi" w:hAnsiTheme="majorBidi" w:cstheme="majorBidi"/>
        </w:rPr>
        <w:t xml:space="preserve"> chiffre d’affaires </w:t>
      </w:r>
      <w:r>
        <w:rPr>
          <w:rFonts w:asciiTheme="majorBidi" w:hAnsiTheme="majorBidi" w:cstheme="majorBidi"/>
        </w:rPr>
        <w:t>s’est</w:t>
      </w:r>
      <w:r w:rsidRPr="00E03639">
        <w:rPr>
          <w:rFonts w:asciiTheme="majorBidi" w:hAnsiTheme="majorBidi" w:cstheme="majorBidi"/>
        </w:rPr>
        <w:t xml:space="preserve"> </w:t>
      </w:r>
      <w:r>
        <w:rPr>
          <w:rFonts w:asciiTheme="majorBidi" w:hAnsiTheme="majorBidi" w:cstheme="majorBidi"/>
        </w:rPr>
        <w:t>établi à 1,</w:t>
      </w:r>
      <w:r w:rsidRPr="00E03639">
        <w:rPr>
          <w:rFonts w:asciiTheme="majorBidi" w:hAnsiTheme="majorBidi" w:cstheme="majorBidi"/>
        </w:rPr>
        <w:t xml:space="preserve">5 milliard de FCFA </w:t>
      </w:r>
      <w:r>
        <w:rPr>
          <w:rFonts w:asciiTheme="majorBidi" w:hAnsiTheme="majorBidi" w:cstheme="majorBidi"/>
        </w:rPr>
        <w:t>à fin juin 2016, soit une amélioration de 27,1</w:t>
      </w:r>
      <w:r w:rsidRPr="00E03639">
        <w:rPr>
          <w:rFonts w:asciiTheme="majorBidi" w:hAnsiTheme="majorBidi" w:cstheme="majorBidi"/>
        </w:rPr>
        <w:t>%</w:t>
      </w:r>
      <w:r>
        <w:rPr>
          <w:rFonts w:asciiTheme="majorBidi" w:hAnsiTheme="majorBidi" w:cstheme="majorBidi"/>
        </w:rPr>
        <w:t>.</w:t>
      </w:r>
    </w:p>
    <w:p w:rsidR="008F715D"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b/>
          <w:bCs/>
          <w:i/>
          <w:iCs/>
          <w:color w:val="000000"/>
        </w:rPr>
      </w:pPr>
      <w:r w:rsidRPr="00E03639">
        <w:rPr>
          <w:rFonts w:asciiTheme="majorBidi" w:hAnsiTheme="majorBidi" w:cstheme="majorBidi"/>
          <w:b/>
          <w:bCs/>
          <w:i/>
          <w:iCs/>
          <w:color w:val="000000"/>
        </w:rPr>
        <w:t>Evolution de l'activité des services immobiliers</w:t>
      </w:r>
    </w:p>
    <w:tbl>
      <w:tblPr>
        <w:tblW w:w="8520" w:type="dxa"/>
        <w:tblInd w:w="55" w:type="dxa"/>
        <w:tblLayout w:type="fixed"/>
        <w:tblCellMar>
          <w:left w:w="70" w:type="dxa"/>
          <w:right w:w="70" w:type="dxa"/>
        </w:tblCellMar>
        <w:tblLook w:val="04A0"/>
      </w:tblPr>
      <w:tblGrid>
        <w:gridCol w:w="4840"/>
        <w:gridCol w:w="1226"/>
        <w:gridCol w:w="1227"/>
        <w:gridCol w:w="1227"/>
      </w:tblGrid>
      <w:tr w:rsidR="008F715D" w:rsidRPr="00F4776C"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F4776C" w:rsidRDefault="008F715D" w:rsidP="002105A0">
            <w:pPr>
              <w:rPr>
                <w:color w:val="000000"/>
              </w:rPr>
            </w:pPr>
            <w:r w:rsidRPr="00F4776C">
              <w:rPr>
                <w:color w:val="000000"/>
              </w:rPr>
              <w:t> </w:t>
            </w:r>
          </w:p>
        </w:tc>
        <w:tc>
          <w:tcPr>
            <w:tcW w:w="3680"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Premier semestre</w:t>
            </w:r>
          </w:p>
        </w:tc>
      </w:tr>
      <w:tr w:rsidR="008F715D" w:rsidRPr="00F4776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F4776C" w:rsidRDefault="008F715D" w:rsidP="002105A0">
            <w:pPr>
              <w:rPr>
                <w:color w:val="000000"/>
              </w:rPr>
            </w:pPr>
            <w:r w:rsidRPr="00F4776C">
              <w:rPr>
                <w:color w:val="000000"/>
              </w:rPr>
              <w:t> </w:t>
            </w:r>
          </w:p>
        </w:tc>
        <w:tc>
          <w:tcPr>
            <w:tcW w:w="1226"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2015</w:t>
            </w:r>
          </w:p>
        </w:tc>
        <w:tc>
          <w:tcPr>
            <w:tcW w:w="1227"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2016</w:t>
            </w:r>
          </w:p>
        </w:tc>
        <w:tc>
          <w:tcPr>
            <w:tcW w:w="1227"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pPr>
            <w:r w:rsidRPr="00F4776C">
              <w:t>Var 16/15</w:t>
            </w:r>
          </w:p>
        </w:tc>
      </w:tr>
      <w:tr w:rsidR="008F715D" w:rsidRPr="00F4776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vAlign w:val="center"/>
            <w:hideMark/>
          </w:tcPr>
          <w:p w:rsidR="008F715D" w:rsidRPr="00F4776C" w:rsidRDefault="008F715D" w:rsidP="002105A0">
            <w:r w:rsidRPr="00F4776C">
              <w:t>Chiffre d’affaires (en millions de FCFA)</w:t>
            </w:r>
          </w:p>
        </w:tc>
        <w:tc>
          <w:tcPr>
            <w:tcW w:w="1226"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1 201</w:t>
            </w:r>
          </w:p>
        </w:tc>
        <w:tc>
          <w:tcPr>
            <w:tcW w:w="1227"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1 526</w:t>
            </w:r>
          </w:p>
        </w:tc>
        <w:tc>
          <w:tcPr>
            <w:tcW w:w="1227"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pPr>
            <w:r w:rsidRPr="00F4776C">
              <w:t>27,1%</w:t>
            </w:r>
          </w:p>
        </w:tc>
      </w:tr>
    </w:tbl>
    <w:p w:rsidR="008F715D" w:rsidRPr="007B56DA" w:rsidRDefault="008F715D" w:rsidP="008F715D">
      <w:pPr>
        <w:jc w:val="both"/>
        <w:rPr>
          <w:rFonts w:asciiTheme="majorBidi" w:hAnsiTheme="majorBidi" w:cstheme="majorBidi"/>
          <w:b/>
          <w:bCs/>
          <w:i/>
          <w:iCs/>
          <w:color w:val="000000"/>
          <w:sz w:val="16"/>
          <w:szCs w:val="16"/>
        </w:rPr>
      </w:pPr>
      <w:r w:rsidRPr="007B56DA">
        <w:rPr>
          <w:rFonts w:asciiTheme="majorBidi" w:hAnsiTheme="majorBidi" w:cstheme="majorBidi"/>
          <w:b/>
          <w:bCs/>
          <w:i/>
          <w:iCs/>
          <w:color w:val="000000"/>
          <w:sz w:val="16"/>
          <w:szCs w:val="16"/>
        </w:rPr>
        <w:t>Sources: Agence N°1, AIL, Alliance, SNI, BICP, SCI Equateur</w:t>
      </w:r>
    </w:p>
    <w:p w:rsidR="008F715D" w:rsidRPr="00E03639" w:rsidRDefault="008F715D" w:rsidP="008F715D">
      <w:pPr>
        <w:jc w:val="both"/>
        <w:rPr>
          <w:rFonts w:asciiTheme="majorBidi" w:hAnsiTheme="majorBidi" w:cstheme="majorBidi"/>
        </w:rPr>
      </w:pPr>
    </w:p>
    <w:p w:rsidR="008F715D" w:rsidRPr="007E0267" w:rsidRDefault="008F715D" w:rsidP="008F715D">
      <w:pPr>
        <w:pStyle w:val="Titre3"/>
        <w:ind w:firstLine="0"/>
        <w:rPr>
          <w:rFonts w:asciiTheme="majorBidi" w:hAnsiTheme="majorBidi" w:cstheme="majorBidi"/>
          <w:b/>
          <w:bCs/>
          <w:i/>
          <w:iCs/>
          <w:color w:val="0000FF"/>
          <w:sz w:val="24"/>
        </w:rPr>
      </w:pPr>
      <w:bookmarkStart w:id="227" w:name="_Toc356891339"/>
      <w:bookmarkStart w:id="228" w:name="_Toc389653164"/>
      <w:bookmarkStart w:id="229" w:name="_Toc389653392"/>
      <w:bookmarkStart w:id="230" w:name="_Toc397691631"/>
      <w:bookmarkStart w:id="231" w:name="_Toc420027544"/>
      <w:bookmarkStart w:id="232" w:name="_Toc462990846"/>
      <w:r>
        <w:rPr>
          <w:rFonts w:asciiTheme="majorBidi" w:hAnsiTheme="majorBidi" w:cstheme="majorBidi"/>
          <w:b/>
          <w:bCs/>
          <w:i/>
          <w:iCs/>
          <w:color w:val="0000FF"/>
          <w:sz w:val="24"/>
        </w:rPr>
        <w:t>I</w:t>
      </w:r>
      <w:r w:rsidRPr="007E0267">
        <w:rPr>
          <w:rFonts w:asciiTheme="majorBidi" w:hAnsiTheme="majorBidi" w:cstheme="majorBidi"/>
          <w:b/>
          <w:bCs/>
          <w:i/>
          <w:iCs/>
          <w:color w:val="0000FF"/>
          <w:sz w:val="24"/>
        </w:rPr>
        <w:t>I.1</w:t>
      </w:r>
      <w:r>
        <w:rPr>
          <w:rFonts w:asciiTheme="majorBidi" w:hAnsiTheme="majorBidi" w:cstheme="majorBidi"/>
          <w:b/>
          <w:bCs/>
          <w:i/>
          <w:iCs/>
          <w:color w:val="0000FF"/>
          <w:sz w:val="24"/>
        </w:rPr>
        <w:t>6</w:t>
      </w:r>
      <w:r w:rsidRPr="007E0267">
        <w:rPr>
          <w:rFonts w:asciiTheme="majorBidi" w:hAnsiTheme="majorBidi" w:cstheme="majorBidi"/>
          <w:b/>
          <w:bCs/>
          <w:i/>
          <w:iCs/>
          <w:color w:val="0000FF"/>
          <w:sz w:val="24"/>
        </w:rPr>
        <w:t>.4. Les services de réparation mécanique</w:t>
      </w:r>
      <w:bookmarkEnd w:id="227"/>
      <w:bookmarkEnd w:id="228"/>
      <w:bookmarkEnd w:id="229"/>
      <w:bookmarkEnd w:id="230"/>
      <w:bookmarkEnd w:id="231"/>
      <w:bookmarkEnd w:id="232"/>
    </w:p>
    <w:p w:rsidR="008F715D" w:rsidRPr="007E0267" w:rsidRDefault="008F715D" w:rsidP="008F715D">
      <w:pPr>
        <w:jc w:val="both"/>
        <w:rPr>
          <w:rFonts w:asciiTheme="majorBidi" w:hAnsiTheme="majorBidi" w:cstheme="majorBidi"/>
          <w:bCs/>
          <w:iCs/>
        </w:rPr>
      </w:pPr>
    </w:p>
    <w:p w:rsidR="008F715D" w:rsidRDefault="008F715D" w:rsidP="008F715D">
      <w:pPr>
        <w:jc w:val="both"/>
        <w:rPr>
          <w:rFonts w:asciiTheme="majorBidi" w:hAnsiTheme="majorBidi" w:cstheme="majorBidi"/>
        </w:rPr>
      </w:pPr>
      <w:r w:rsidRPr="00E74F9C">
        <w:rPr>
          <w:rFonts w:asciiTheme="majorBidi" w:hAnsiTheme="majorBidi" w:cstheme="majorBidi"/>
        </w:rPr>
        <w:t>Comparativement au premier semestre de l’année 2015, le chiffre d’affaires des services de mécanique générale a baissé de 1,1%, en raison de la contraction des commandes en pièces détachées et de la concurrence du secteur informel.</w:t>
      </w:r>
      <w:r>
        <w:rPr>
          <w:rFonts w:asciiTheme="majorBidi" w:hAnsiTheme="majorBidi" w:cstheme="majorBidi"/>
        </w:rPr>
        <w:t xml:space="preserve"> Il s’est élevé à 8,9 milliards de FCFA au 30 juin 2016.</w:t>
      </w:r>
    </w:p>
    <w:p w:rsidR="008F715D"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rPr>
      </w:pPr>
    </w:p>
    <w:p w:rsidR="008F715D" w:rsidRDefault="008F715D" w:rsidP="008F715D">
      <w:pPr>
        <w:jc w:val="both"/>
        <w:rPr>
          <w:rFonts w:asciiTheme="majorBidi" w:hAnsiTheme="majorBidi" w:cstheme="majorBidi"/>
          <w:b/>
          <w:bCs/>
          <w:i/>
          <w:iCs/>
          <w:color w:val="000000"/>
        </w:rPr>
      </w:pPr>
      <w:r w:rsidRPr="00E03639">
        <w:rPr>
          <w:rFonts w:asciiTheme="majorBidi" w:hAnsiTheme="majorBidi" w:cstheme="majorBidi"/>
          <w:b/>
          <w:bCs/>
          <w:i/>
          <w:iCs/>
          <w:color w:val="000000"/>
        </w:rPr>
        <w:t xml:space="preserve">Evolution de l'activité des services </w:t>
      </w:r>
      <w:r>
        <w:rPr>
          <w:rFonts w:asciiTheme="majorBidi" w:hAnsiTheme="majorBidi" w:cstheme="majorBidi"/>
          <w:b/>
          <w:bCs/>
          <w:i/>
          <w:iCs/>
          <w:color w:val="000000"/>
        </w:rPr>
        <w:t>de mécanique générale</w:t>
      </w:r>
    </w:p>
    <w:tbl>
      <w:tblPr>
        <w:tblW w:w="8497" w:type="dxa"/>
        <w:tblInd w:w="55" w:type="dxa"/>
        <w:tblLayout w:type="fixed"/>
        <w:tblCellMar>
          <w:left w:w="70" w:type="dxa"/>
          <w:right w:w="70" w:type="dxa"/>
        </w:tblCellMar>
        <w:tblLook w:val="04A0"/>
      </w:tblPr>
      <w:tblGrid>
        <w:gridCol w:w="4840"/>
        <w:gridCol w:w="1219"/>
        <w:gridCol w:w="1219"/>
        <w:gridCol w:w="1219"/>
      </w:tblGrid>
      <w:tr w:rsidR="008F715D" w:rsidRPr="00F4776C"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F4776C" w:rsidRDefault="008F715D" w:rsidP="002105A0">
            <w:pPr>
              <w:rPr>
                <w:color w:val="000000"/>
              </w:rPr>
            </w:pPr>
            <w:r w:rsidRPr="00F4776C">
              <w:rPr>
                <w:color w:val="000000"/>
              </w:rPr>
              <w:t> </w:t>
            </w:r>
          </w:p>
        </w:tc>
        <w:tc>
          <w:tcPr>
            <w:tcW w:w="3657"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Premier semestre</w:t>
            </w:r>
          </w:p>
        </w:tc>
      </w:tr>
      <w:tr w:rsidR="008F715D" w:rsidRPr="00F4776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F4776C" w:rsidRDefault="008F715D" w:rsidP="002105A0">
            <w:pPr>
              <w:rPr>
                <w:color w:val="000000"/>
              </w:rPr>
            </w:pPr>
            <w:r w:rsidRPr="00F4776C">
              <w:rPr>
                <w:color w:val="000000"/>
              </w:rPr>
              <w:t> </w:t>
            </w:r>
          </w:p>
        </w:tc>
        <w:tc>
          <w:tcPr>
            <w:tcW w:w="1219"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2015</w:t>
            </w:r>
          </w:p>
        </w:tc>
        <w:tc>
          <w:tcPr>
            <w:tcW w:w="1219"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2016</w:t>
            </w:r>
          </w:p>
        </w:tc>
        <w:tc>
          <w:tcPr>
            <w:tcW w:w="1219"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pPr>
            <w:r w:rsidRPr="00F4776C">
              <w:t>Var 16/15</w:t>
            </w:r>
          </w:p>
        </w:tc>
      </w:tr>
      <w:tr w:rsidR="008F715D" w:rsidRPr="00F4776C"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vAlign w:val="center"/>
            <w:hideMark/>
          </w:tcPr>
          <w:p w:rsidR="008F715D" w:rsidRPr="00F4776C" w:rsidRDefault="008F715D" w:rsidP="002105A0">
            <w:r w:rsidRPr="00F4776C">
              <w:t>Chiffre d’affaires (en millions de FCFA)</w:t>
            </w:r>
          </w:p>
        </w:tc>
        <w:tc>
          <w:tcPr>
            <w:tcW w:w="1219"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8 974</w:t>
            </w:r>
          </w:p>
        </w:tc>
        <w:tc>
          <w:tcPr>
            <w:tcW w:w="1219"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000000"/>
              </w:rPr>
            </w:pPr>
            <w:r w:rsidRPr="00F4776C">
              <w:rPr>
                <w:color w:val="000000"/>
              </w:rPr>
              <w:t>8 877</w:t>
            </w:r>
          </w:p>
        </w:tc>
        <w:tc>
          <w:tcPr>
            <w:tcW w:w="1219" w:type="dxa"/>
            <w:tcBorders>
              <w:top w:val="nil"/>
              <w:left w:val="nil"/>
              <w:bottom w:val="single" w:sz="12" w:space="0" w:color="0070C0"/>
              <w:right w:val="single" w:sz="12" w:space="0" w:color="0070C0"/>
            </w:tcBorders>
            <w:shd w:val="clear" w:color="auto" w:fill="auto"/>
            <w:noWrap/>
            <w:vAlign w:val="center"/>
            <w:hideMark/>
          </w:tcPr>
          <w:p w:rsidR="008F715D" w:rsidRPr="00F4776C" w:rsidRDefault="008F715D" w:rsidP="002105A0">
            <w:pPr>
              <w:jc w:val="center"/>
              <w:rPr>
                <w:color w:val="FF0000"/>
              </w:rPr>
            </w:pPr>
            <w:r w:rsidRPr="00F4776C">
              <w:rPr>
                <w:color w:val="FF0000"/>
              </w:rPr>
              <w:t>-1,1%</w:t>
            </w:r>
          </w:p>
        </w:tc>
      </w:tr>
    </w:tbl>
    <w:p w:rsidR="008F715D" w:rsidRPr="00E03639" w:rsidRDefault="008F715D" w:rsidP="008F715D">
      <w:pPr>
        <w:jc w:val="both"/>
        <w:rPr>
          <w:rFonts w:asciiTheme="majorBidi" w:hAnsiTheme="majorBidi" w:cstheme="majorBidi"/>
          <w:b/>
          <w:bCs/>
          <w:i/>
          <w:iCs/>
          <w:color w:val="000000"/>
          <w:sz w:val="16"/>
          <w:szCs w:val="16"/>
          <w:lang w:val="en-US"/>
        </w:rPr>
      </w:pPr>
      <w:r w:rsidRPr="00E03639">
        <w:rPr>
          <w:rFonts w:asciiTheme="majorBidi" w:hAnsiTheme="majorBidi" w:cstheme="majorBidi"/>
          <w:b/>
          <w:bCs/>
          <w:i/>
          <w:iCs/>
          <w:color w:val="000000"/>
          <w:sz w:val="16"/>
          <w:szCs w:val="16"/>
          <w:lang w:val="en-US"/>
        </w:rPr>
        <w:t>Sources: ECIG, PEA, GSA, BIG</w:t>
      </w:r>
    </w:p>
    <w:p w:rsidR="008F715D" w:rsidRPr="007E0267" w:rsidRDefault="008F715D" w:rsidP="008F715D">
      <w:pPr>
        <w:jc w:val="both"/>
        <w:rPr>
          <w:rFonts w:asciiTheme="majorBidi" w:hAnsiTheme="majorBidi" w:cstheme="majorBidi"/>
          <w:lang w:val="en-US"/>
        </w:rPr>
      </w:pPr>
    </w:p>
    <w:p w:rsidR="008F715D" w:rsidRPr="00B02DAA" w:rsidRDefault="008F715D" w:rsidP="008F715D">
      <w:pPr>
        <w:pStyle w:val="Titre2"/>
        <w:rPr>
          <w:rFonts w:asciiTheme="majorBidi" w:hAnsiTheme="majorBidi" w:cstheme="majorBidi"/>
          <w:b/>
          <w:bCs/>
          <w:i w:val="0"/>
          <w:color w:val="0000FF"/>
          <w:sz w:val="24"/>
        </w:rPr>
      </w:pPr>
      <w:bookmarkStart w:id="233" w:name="_Toc63511822"/>
      <w:bookmarkStart w:id="234" w:name="_Toc77665773"/>
      <w:bookmarkStart w:id="235" w:name="_Toc356891341"/>
      <w:bookmarkStart w:id="236" w:name="_Toc389653165"/>
      <w:bookmarkStart w:id="237" w:name="_Toc389653393"/>
      <w:bookmarkStart w:id="238" w:name="_Toc420027545"/>
      <w:bookmarkStart w:id="239" w:name="_Toc462990847"/>
      <w:r>
        <w:rPr>
          <w:rFonts w:asciiTheme="majorBidi" w:hAnsiTheme="majorBidi" w:cstheme="majorBidi"/>
          <w:b/>
          <w:bCs/>
          <w:i w:val="0"/>
          <w:color w:val="0000FF"/>
          <w:sz w:val="24"/>
        </w:rPr>
        <w:t>II.17</w:t>
      </w:r>
      <w:r w:rsidRPr="00B02DAA">
        <w:rPr>
          <w:rFonts w:asciiTheme="majorBidi" w:hAnsiTheme="majorBidi" w:cstheme="majorBidi"/>
          <w:b/>
          <w:bCs/>
          <w:i w:val="0"/>
          <w:color w:val="0000FF"/>
          <w:sz w:val="24"/>
        </w:rPr>
        <w:t>. L’HOTELLERIE ET LA RESTAURATION</w:t>
      </w:r>
      <w:bookmarkEnd w:id="233"/>
      <w:bookmarkEnd w:id="234"/>
      <w:bookmarkEnd w:id="235"/>
      <w:bookmarkEnd w:id="236"/>
      <w:bookmarkEnd w:id="237"/>
      <w:bookmarkEnd w:id="238"/>
      <w:bookmarkEnd w:id="239"/>
    </w:p>
    <w:p w:rsidR="008F715D" w:rsidRPr="007E0267" w:rsidRDefault="008F715D" w:rsidP="008F715D">
      <w:pPr>
        <w:rPr>
          <w:rFonts w:asciiTheme="majorBidi" w:hAnsiTheme="majorBidi" w:cstheme="majorBidi"/>
        </w:rPr>
      </w:pPr>
    </w:p>
    <w:p w:rsidR="008F715D" w:rsidRPr="002205E6" w:rsidRDefault="008F715D" w:rsidP="008F715D">
      <w:pPr>
        <w:jc w:val="both"/>
        <w:rPr>
          <w:rFonts w:asciiTheme="majorBidi" w:hAnsiTheme="majorBidi" w:cstheme="majorBidi"/>
        </w:rPr>
      </w:pPr>
      <w:r w:rsidRPr="002205E6">
        <w:rPr>
          <w:rFonts w:asciiTheme="majorBidi" w:hAnsiTheme="majorBidi" w:cstheme="majorBidi"/>
        </w:rPr>
        <w:t>Le secteur de l’hôtellerie et restauration a enregistré une reprise de l’activité au regard de l’évolution des principaux indicateurs. Aussi, le nombre de clients ayant fréquenté les grands hôtels a-t-il progressé de 128%, suite à la mise en service de nouvelles structures hôtelières. Cependant, malgré la fermeture de certaines unités pour travaux de réhabilitation en vue de la CAN 2017, le taux d’occupation des chambres a perdu 13,95 points, compte tenu du renforcement de la capacité d’accueil.</w:t>
      </w:r>
    </w:p>
    <w:p w:rsidR="008F715D" w:rsidRPr="002205E6" w:rsidRDefault="008F715D" w:rsidP="008F715D">
      <w:pPr>
        <w:rPr>
          <w:rFonts w:asciiTheme="majorBidi" w:hAnsiTheme="majorBidi" w:cstheme="majorBidi"/>
        </w:rPr>
      </w:pPr>
    </w:p>
    <w:p w:rsidR="008F715D" w:rsidRPr="00447486" w:rsidRDefault="008F715D" w:rsidP="008F715D">
      <w:pPr>
        <w:jc w:val="both"/>
        <w:rPr>
          <w:rFonts w:asciiTheme="majorBidi" w:hAnsiTheme="majorBidi" w:cstheme="majorBidi"/>
        </w:rPr>
      </w:pPr>
      <w:r w:rsidRPr="002205E6">
        <w:rPr>
          <w:rFonts w:asciiTheme="majorBidi" w:hAnsiTheme="majorBidi" w:cstheme="majorBidi"/>
        </w:rPr>
        <w:t>Parallèlement, le chiffre d’affaires global du secteur a progressé de 4,2% à 23,6 milliards de FCFA, en lien avec l’amélioration du chiffre d’affaires de l’hôtellerie (7,9 milliards) alors que la restauration collective baisse très légèrement à 15,6 milliards de chiffres d’affaires.</w:t>
      </w:r>
    </w:p>
    <w:p w:rsidR="008F715D" w:rsidRPr="00CB1F5B" w:rsidRDefault="008F715D" w:rsidP="008F715D">
      <w:pPr>
        <w:jc w:val="both"/>
        <w:rPr>
          <w:rFonts w:asciiTheme="majorBidi" w:hAnsiTheme="majorBidi" w:cstheme="majorBidi"/>
        </w:rPr>
      </w:pPr>
    </w:p>
    <w:p w:rsidR="008F715D" w:rsidRPr="00D17F1F" w:rsidRDefault="008F715D" w:rsidP="008F715D">
      <w:pPr>
        <w:rPr>
          <w:rFonts w:asciiTheme="majorBidi" w:hAnsiTheme="majorBidi" w:cstheme="majorBidi"/>
          <w:b/>
          <w:bCs/>
          <w:i/>
        </w:rPr>
      </w:pPr>
      <w:r w:rsidRPr="00D17F1F">
        <w:rPr>
          <w:rFonts w:asciiTheme="majorBidi" w:hAnsiTheme="majorBidi" w:cstheme="majorBidi"/>
          <w:b/>
          <w:bCs/>
          <w:i/>
        </w:rPr>
        <w:t>Evolution de l’activité hôtelière</w:t>
      </w:r>
    </w:p>
    <w:tbl>
      <w:tblPr>
        <w:tblW w:w="8946" w:type="dxa"/>
        <w:tblInd w:w="55" w:type="dxa"/>
        <w:tblLayout w:type="fixed"/>
        <w:tblCellMar>
          <w:left w:w="70" w:type="dxa"/>
          <w:right w:w="70" w:type="dxa"/>
        </w:tblCellMar>
        <w:tblLook w:val="04A0"/>
      </w:tblPr>
      <w:tblGrid>
        <w:gridCol w:w="4840"/>
        <w:gridCol w:w="1368"/>
        <w:gridCol w:w="1369"/>
        <w:gridCol w:w="1369"/>
      </w:tblGrid>
      <w:tr w:rsidR="008F715D" w:rsidRPr="00D17F1F" w:rsidTr="002105A0">
        <w:trPr>
          <w:trHeight w:val="345"/>
        </w:trPr>
        <w:tc>
          <w:tcPr>
            <w:tcW w:w="4840" w:type="dxa"/>
            <w:tcBorders>
              <w:top w:val="single" w:sz="12" w:space="0" w:color="0070C0"/>
              <w:left w:val="single" w:sz="12" w:space="0" w:color="0070C0"/>
              <w:bottom w:val="nil"/>
              <w:right w:val="single" w:sz="12" w:space="0" w:color="0070C0"/>
            </w:tcBorders>
            <w:shd w:val="clear" w:color="auto" w:fill="auto"/>
            <w:noWrap/>
            <w:vAlign w:val="center"/>
            <w:hideMark/>
          </w:tcPr>
          <w:p w:rsidR="008F715D" w:rsidRPr="00D17F1F" w:rsidRDefault="008F715D" w:rsidP="002105A0">
            <w:pPr>
              <w:rPr>
                <w:color w:val="000000"/>
              </w:rPr>
            </w:pPr>
            <w:r w:rsidRPr="00D17F1F">
              <w:rPr>
                <w:color w:val="000000"/>
                <w:szCs w:val="22"/>
              </w:rPr>
              <w:t xml:space="preserve">  </w:t>
            </w:r>
          </w:p>
        </w:tc>
        <w:tc>
          <w:tcPr>
            <w:tcW w:w="4106" w:type="dxa"/>
            <w:gridSpan w:val="3"/>
            <w:tcBorders>
              <w:top w:val="single" w:sz="12" w:space="0" w:color="0070C0"/>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rPr>
                <w:color w:val="000000"/>
              </w:rPr>
            </w:pPr>
            <w:r w:rsidRPr="00D17F1F">
              <w:rPr>
                <w:color w:val="000000"/>
                <w:szCs w:val="22"/>
              </w:rPr>
              <w:t>Premier semestre</w:t>
            </w:r>
          </w:p>
        </w:tc>
      </w:tr>
      <w:tr w:rsidR="008F715D" w:rsidRPr="00D17F1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17F1F" w:rsidRDefault="008F715D" w:rsidP="002105A0">
            <w:pPr>
              <w:rPr>
                <w:color w:val="000000"/>
              </w:rPr>
            </w:pPr>
            <w:r w:rsidRPr="00D17F1F">
              <w:rPr>
                <w:color w:val="000000"/>
                <w:szCs w:val="22"/>
              </w:rPr>
              <w:t>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rPr>
                <w:color w:val="000000"/>
              </w:rPr>
            </w:pPr>
            <w:r w:rsidRPr="00D17F1F">
              <w:rPr>
                <w:color w:val="000000"/>
                <w:szCs w:val="22"/>
              </w:rPr>
              <w:t>2015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rPr>
                <w:color w:val="000000"/>
              </w:rPr>
            </w:pPr>
            <w:r w:rsidRPr="00D17F1F">
              <w:rPr>
                <w:color w:val="000000"/>
                <w:szCs w:val="22"/>
              </w:rPr>
              <w:t>2016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pPr>
            <w:r w:rsidRPr="00D17F1F">
              <w:rPr>
                <w:szCs w:val="22"/>
              </w:rPr>
              <w:t>Var 16/15</w:t>
            </w:r>
          </w:p>
        </w:tc>
      </w:tr>
      <w:tr w:rsidR="008F715D" w:rsidRPr="00D17F1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17F1F" w:rsidRDefault="008F715D" w:rsidP="002105A0">
            <w:pPr>
              <w:rPr>
                <w:color w:val="000000"/>
              </w:rPr>
            </w:pPr>
            <w:r w:rsidRPr="00D17F1F">
              <w:rPr>
                <w:color w:val="000000"/>
                <w:szCs w:val="22"/>
              </w:rPr>
              <w:t>Chiffre d’affaires (en millions de FCFA)</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rPr>
                <w:b/>
                <w:bCs/>
              </w:rPr>
            </w:pPr>
            <w:r w:rsidRPr="00D17F1F">
              <w:rPr>
                <w:b/>
                <w:bCs/>
                <w:szCs w:val="22"/>
              </w:rPr>
              <w:t>22 608</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rPr>
                <w:b/>
                <w:bCs/>
              </w:rPr>
            </w:pPr>
            <w:r w:rsidRPr="00D17F1F">
              <w:rPr>
                <w:b/>
                <w:bCs/>
                <w:szCs w:val="22"/>
              </w:rPr>
              <w:t>23 562</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rPr>
                <w:b/>
                <w:bCs/>
              </w:rPr>
            </w:pPr>
            <w:r w:rsidRPr="00D17F1F">
              <w:rPr>
                <w:b/>
                <w:bCs/>
                <w:szCs w:val="22"/>
              </w:rPr>
              <w:t>4,2%</w:t>
            </w:r>
          </w:p>
        </w:tc>
      </w:tr>
      <w:tr w:rsidR="008F715D" w:rsidRPr="00D17F1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137D0" w:rsidRDefault="008F715D" w:rsidP="002105A0">
            <w:pPr>
              <w:rPr>
                <w:i/>
                <w:iCs/>
                <w:color w:val="000000"/>
              </w:rPr>
            </w:pPr>
            <w:r w:rsidRPr="00D137D0">
              <w:rPr>
                <w:i/>
                <w:iCs/>
                <w:color w:val="000000"/>
                <w:szCs w:val="22"/>
              </w:rPr>
              <w:t xml:space="preserve">      Hôtels</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137D0" w:rsidRDefault="008F715D" w:rsidP="002105A0">
            <w:pPr>
              <w:jc w:val="center"/>
              <w:rPr>
                <w:i/>
                <w:iCs/>
              </w:rPr>
            </w:pPr>
            <w:r w:rsidRPr="00D137D0">
              <w:rPr>
                <w:i/>
                <w:iCs/>
                <w:szCs w:val="22"/>
              </w:rPr>
              <w:t>6 933</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137D0" w:rsidRDefault="008F715D" w:rsidP="002105A0">
            <w:pPr>
              <w:jc w:val="center"/>
              <w:rPr>
                <w:i/>
                <w:iCs/>
              </w:rPr>
            </w:pPr>
            <w:r w:rsidRPr="00D137D0">
              <w:rPr>
                <w:i/>
                <w:iCs/>
                <w:szCs w:val="22"/>
              </w:rPr>
              <w:t>7 923</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137D0" w:rsidRDefault="008F715D" w:rsidP="002105A0">
            <w:pPr>
              <w:jc w:val="center"/>
              <w:rPr>
                <w:i/>
                <w:iCs/>
              </w:rPr>
            </w:pPr>
            <w:r w:rsidRPr="00D137D0">
              <w:rPr>
                <w:i/>
                <w:iCs/>
                <w:szCs w:val="22"/>
              </w:rPr>
              <w:t>14,3%</w:t>
            </w:r>
          </w:p>
        </w:tc>
      </w:tr>
      <w:tr w:rsidR="008F715D" w:rsidRPr="00D17F1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137D0" w:rsidRDefault="008F715D" w:rsidP="002105A0">
            <w:pPr>
              <w:rPr>
                <w:i/>
                <w:iCs/>
                <w:color w:val="000000"/>
              </w:rPr>
            </w:pPr>
            <w:r w:rsidRPr="00D137D0">
              <w:rPr>
                <w:i/>
                <w:iCs/>
                <w:color w:val="000000"/>
                <w:szCs w:val="22"/>
              </w:rPr>
              <w:t xml:space="preserve">      Restauration collective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137D0" w:rsidRDefault="008F715D" w:rsidP="002105A0">
            <w:pPr>
              <w:jc w:val="center"/>
              <w:rPr>
                <w:i/>
                <w:iCs/>
              </w:rPr>
            </w:pPr>
            <w:r w:rsidRPr="00D137D0">
              <w:rPr>
                <w:i/>
                <w:iCs/>
                <w:szCs w:val="22"/>
              </w:rPr>
              <w:t>15 675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137D0" w:rsidRDefault="008F715D" w:rsidP="002105A0">
            <w:pPr>
              <w:jc w:val="center"/>
              <w:rPr>
                <w:i/>
                <w:iCs/>
              </w:rPr>
            </w:pPr>
            <w:r w:rsidRPr="00D137D0">
              <w:rPr>
                <w:i/>
                <w:iCs/>
                <w:szCs w:val="22"/>
              </w:rPr>
              <w:t>15 639</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137D0" w:rsidRDefault="008F715D" w:rsidP="002105A0">
            <w:pPr>
              <w:jc w:val="center"/>
              <w:rPr>
                <w:i/>
                <w:iCs/>
                <w:color w:val="FF0000"/>
              </w:rPr>
            </w:pPr>
            <w:r w:rsidRPr="00D137D0">
              <w:rPr>
                <w:i/>
                <w:iCs/>
                <w:color w:val="FF0000"/>
                <w:szCs w:val="22"/>
              </w:rPr>
              <w:t>-0,2%</w:t>
            </w:r>
          </w:p>
        </w:tc>
      </w:tr>
      <w:tr w:rsidR="008F715D" w:rsidRPr="00D17F1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17F1F" w:rsidRDefault="008F715D" w:rsidP="002105A0">
            <w:pPr>
              <w:rPr>
                <w:color w:val="000000"/>
              </w:rPr>
            </w:pPr>
            <w:r w:rsidRPr="00D17F1F">
              <w:rPr>
                <w:color w:val="000000"/>
                <w:szCs w:val="22"/>
              </w:rPr>
              <w:t>Chambres occupées (en nombre)</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rPr>
                <w:color w:val="000000"/>
              </w:rPr>
            </w:pPr>
            <w:r w:rsidRPr="00D17F1F">
              <w:rPr>
                <w:color w:val="000000"/>
                <w:szCs w:val="22"/>
              </w:rPr>
              <w:t>54 096</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rPr>
                <w:color w:val="000000"/>
              </w:rPr>
            </w:pPr>
            <w:r w:rsidRPr="00D17F1F">
              <w:rPr>
                <w:color w:val="000000"/>
                <w:szCs w:val="22"/>
              </w:rPr>
              <w:t>60 577</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pPr>
            <w:r w:rsidRPr="00D17F1F">
              <w:rPr>
                <w:szCs w:val="22"/>
              </w:rPr>
              <w:t>12,0%</w:t>
            </w:r>
          </w:p>
        </w:tc>
      </w:tr>
      <w:tr w:rsidR="008F715D" w:rsidRPr="00D17F1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17F1F" w:rsidRDefault="008F715D" w:rsidP="002105A0">
            <w:pPr>
              <w:rPr>
                <w:color w:val="000000"/>
              </w:rPr>
            </w:pPr>
            <w:r w:rsidRPr="00D17F1F">
              <w:rPr>
                <w:color w:val="000000"/>
                <w:szCs w:val="22"/>
              </w:rPr>
              <w:t>Taux d’occupation (en %)</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rPr>
                <w:color w:val="000000"/>
              </w:rPr>
            </w:pPr>
            <w:r w:rsidRPr="00D17F1F">
              <w:rPr>
                <w:color w:val="000000"/>
                <w:szCs w:val="22"/>
              </w:rPr>
              <w:t>57,95</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rPr>
                <w:color w:val="000000"/>
              </w:rPr>
            </w:pPr>
            <w:r w:rsidRPr="00D17F1F">
              <w:rPr>
                <w:color w:val="000000"/>
                <w:szCs w:val="22"/>
              </w:rPr>
              <w:t>44,00</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rPr>
                <w:color w:val="FF0000"/>
              </w:rPr>
            </w:pPr>
            <w:r w:rsidRPr="00D17F1F">
              <w:rPr>
                <w:color w:val="FF0000"/>
                <w:szCs w:val="22"/>
              </w:rPr>
              <w:t>-13,95</w:t>
            </w:r>
            <w:r>
              <w:rPr>
                <w:color w:val="FF0000"/>
                <w:szCs w:val="22"/>
              </w:rPr>
              <w:t xml:space="preserve"> pts</w:t>
            </w:r>
          </w:p>
        </w:tc>
      </w:tr>
      <w:tr w:rsidR="008F715D" w:rsidRPr="00D17F1F" w:rsidTr="002105A0">
        <w:trPr>
          <w:trHeight w:val="345"/>
        </w:trPr>
        <w:tc>
          <w:tcPr>
            <w:tcW w:w="48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D17F1F" w:rsidRDefault="008F715D" w:rsidP="002105A0">
            <w:pPr>
              <w:rPr>
                <w:color w:val="000000"/>
              </w:rPr>
            </w:pPr>
            <w:r>
              <w:rPr>
                <w:color w:val="000000"/>
                <w:szCs w:val="22"/>
              </w:rPr>
              <w:t>Prix m</w:t>
            </w:r>
            <w:r w:rsidRPr="00D17F1F">
              <w:rPr>
                <w:color w:val="000000"/>
                <w:szCs w:val="22"/>
              </w:rPr>
              <w:t>oyen/chambre (FCFA)</w:t>
            </w:r>
          </w:p>
        </w:tc>
        <w:tc>
          <w:tcPr>
            <w:tcW w:w="1368"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rPr>
                <w:color w:val="000000"/>
              </w:rPr>
            </w:pPr>
            <w:r w:rsidRPr="00D17F1F">
              <w:rPr>
                <w:color w:val="000000"/>
                <w:szCs w:val="22"/>
              </w:rPr>
              <w:t>150 788</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rPr>
                <w:color w:val="000000"/>
              </w:rPr>
            </w:pPr>
            <w:r w:rsidRPr="00D17F1F">
              <w:rPr>
                <w:color w:val="000000"/>
                <w:szCs w:val="22"/>
              </w:rPr>
              <w:t>141 494</w:t>
            </w:r>
          </w:p>
        </w:tc>
        <w:tc>
          <w:tcPr>
            <w:tcW w:w="1369" w:type="dxa"/>
            <w:tcBorders>
              <w:top w:val="nil"/>
              <w:left w:val="nil"/>
              <w:bottom w:val="single" w:sz="12" w:space="0" w:color="0070C0"/>
              <w:right w:val="single" w:sz="12" w:space="0" w:color="0070C0"/>
            </w:tcBorders>
            <w:shd w:val="clear" w:color="auto" w:fill="auto"/>
            <w:noWrap/>
            <w:vAlign w:val="center"/>
            <w:hideMark/>
          </w:tcPr>
          <w:p w:rsidR="008F715D" w:rsidRPr="00D17F1F" w:rsidRDefault="008F715D" w:rsidP="002105A0">
            <w:pPr>
              <w:jc w:val="center"/>
              <w:rPr>
                <w:color w:val="FF0000"/>
              </w:rPr>
            </w:pPr>
            <w:r w:rsidRPr="00D17F1F">
              <w:rPr>
                <w:color w:val="FF0000"/>
                <w:szCs w:val="22"/>
              </w:rPr>
              <w:t>-6,2%</w:t>
            </w:r>
          </w:p>
        </w:tc>
      </w:tr>
    </w:tbl>
    <w:p w:rsidR="008F715D" w:rsidRPr="005D514F" w:rsidRDefault="008F715D" w:rsidP="008F715D">
      <w:pPr>
        <w:rPr>
          <w:rFonts w:asciiTheme="majorBidi" w:hAnsiTheme="majorBidi" w:cstheme="majorBidi"/>
          <w:i/>
          <w:iCs/>
          <w:sz w:val="20"/>
          <w:szCs w:val="20"/>
        </w:rPr>
      </w:pPr>
      <w:r w:rsidRPr="005D514F">
        <w:rPr>
          <w:rFonts w:asciiTheme="majorBidi" w:hAnsiTheme="majorBidi" w:cstheme="majorBidi"/>
          <w:i/>
          <w:iCs/>
          <w:sz w:val="20"/>
          <w:szCs w:val="20"/>
        </w:rPr>
        <w:t>Sources : Rê-ndama, Radisson blu, Park Inn, Mandji, Sodexo, Newrest, Ayoba, GSS</w:t>
      </w:r>
    </w:p>
    <w:p w:rsidR="008F715D" w:rsidRPr="00C0053C" w:rsidRDefault="008F715D" w:rsidP="008F715D">
      <w:pPr>
        <w:jc w:val="both"/>
        <w:rPr>
          <w:rFonts w:asciiTheme="majorBidi" w:hAnsiTheme="majorBidi" w:cstheme="majorBidi"/>
          <w:highlight w:val="lightGray"/>
        </w:rPr>
      </w:pPr>
    </w:p>
    <w:p w:rsidR="008F715D" w:rsidRPr="00E9774B" w:rsidRDefault="008F715D" w:rsidP="008F715D">
      <w:pPr>
        <w:pStyle w:val="Titre2"/>
        <w:rPr>
          <w:rFonts w:asciiTheme="majorBidi" w:hAnsiTheme="majorBidi" w:cstheme="majorBidi"/>
          <w:b/>
          <w:bCs/>
          <w:i w:val="0"/>
          <w:color w:val="0000FF"/>
          <w:sz w:val="24"/>
        </w:rPr>
      </w:pPr>
      <w:bookmarkStart w:id="240" w:name="_Toc453833458"/>
      <w:bookmarkStart w:id="241" w:name="_Toc462990848"/>
      <w:r>
        <w:rPr>
          <w:rFonts w:asciiTheme="majorBidi" w:hAnsiTheme="majorBidi" w:cstheme="majorBidi"/>
          <w:b/>
          <w:bCs/>
          <w:i w:val="0"/>
          <w:color w:val="0000FF"/>
          <w:sz w:val="24"/>
        </w:rPr>
        <w:t>II.18</w:t>
      </w:r>
      <w:r w:rsidRPr="00E9774B">
        <w:rPr>
          <w:rFonts w:asciiTheme="majorBidi" w:hAnsiTheme="majorBidi" w:cstheme="majorBidi"/>
          <w:b/>
          <w:bCs/>
          <w:i w:val="0"/>
          <w:color w:val="0000FF"/>
          <w:sz w:val="24"/>
        </w:rPr>
        <w:t xml:space="preserve"> LA SITUATION DU SYSTEME BANCAIRE</w:t>
      </w:r>
      <w:bookmarkEnd w:id="240"/>
      <w:bookmarkEnd w:id="241"/>
    </w:p>
    <w:p w:rsidR="008F715D" w:rsidRPr="00A52E27" w:rsidRDefault="008F715D" w:rsidP="008F715D"/>
    <w:p w:rsidR="008F715D" w:rsidRPr="000634CD" w:rsidRDefault="008F715D" w:rsidP="008F715D">
      <w:pPr>
        <w:spacing w:line="276" w:lineRule="auto"/>
        <w:jc w:val="both"/>
        <w:rPr>
          <w:rFonts w:asciiTheme="majorBidi" w:hAnsiTheme="majorBidi" w:cstheme="majorBidi"/>
        </w:rPr>
      </w:pPr>
      <w:r w:rsidRPr="002205E6">
        <w:rPr>
          <w:rFonts w:asciiTheme="majorBidi" w:hAnsiTheme="majorBidi" w:cstheme="majorBidi"/>
        </w:rPr>
        <w:t>Au 30 juin 2016, le total agrégé des bilans des dix banques en activité s’est établi à 2 505 milliards de FCFA. Il a progressé de 3,1% comparativement à la même période de l’année précédente, en relation avec l’accroissement des crédits nets (+4%) à 1 691 milliards de FCFA.</w:t>
      </w:r>
      <w:r w:rsidRPr="000634CD">
        <w:rPr>
          <w:rFonts w:asciiTheme="majorBidi" w:hAnsiTheme="majorBidi" w:cstheme="majorBidi"/>
        </w:rPr>
        <w:t xml:space="preserve"> </w:t>
      </w:r>
    </w:p>
    <w:p w:rsidR="008F715D" w:rsidRPr="00A52E27" w:rsidRDefault="008F715D" w:rsidP="008F715D">
      <w:pPr>
        <w:tabs>
          <w:tab w:val="left" w:pos="1416"/>
        </w:tabs>
        <w:spacing w:line="276" w:lineRule="auto"/>
        <w:rPr>
          <w:b/>
          <w:u w:val="single"/>
        </w:rPr>
      </w:pPr>
    </w:p>
    <w:p w:rsidR="008F715D" w:rsidRDefault="008F715D" w:rsidP="008F715D">
      <w:pPr>
        <w:pStyle w:val="Titre3"/>
        <w:ind w:firstLine="0"/>
        <w:rPr>
          <w:b/>
          <w:bCs/>
          <w:i/>
          <w:iCs/>
          <w:color w:val="0000FF"/>
          <w:sz w:val="24"/>
        </w:rPr>
      </w:pPr>
      <w:bookmarkStart w:id="242" w:name="_Toc462990849"/>
      <w:r>
        <w:rPr>
          <w:b/>
          <w:bCs/>
          <w:i/>
          <w:iCs/>
          <w:color w:val="0000FF"/>
          <w:sz w:val="24"/>
        </w:rPr>
        <w:t>II.18</w:t>
      </w:r>
      <w:r w:rsidRPr="00A52E27">
        <w:rPr>
          <w:b/>
          <w:bCs/>
          <w:i/>
          <w:iCs/>
          <w:color w:val="0000FF"/>
          <w:sz w:val="24"/>
        </w:rPr>
        <w:t>.1.1 Les ressources collectées</w:t>
      </w:r>
      <w:bookmarkEnd w:id="242"/>
    </w:p>
    <w:p w:rsidR="008F715D" w:rsidRPr="000634CD" w:rsidRDefault="008F715D" w:rsidP="008F715D"/>
    <w:p w:rsidR="008F715D" w:rsidRDefault="008F715D" w:rsidP="008F715D">
      <w:pPr>
        <w:spacing w:line="276" w:lineRule="auto"/>
        <w:jc w:val="both"/>
        <w:rPr>
          <w:rFonts w:asciiTheme="majorBidi" w:hAnsiTheme="majorBidi" w:cstheme="majorBidi"/>
        </w:rPr>
      </w:pPr>
      <w:r w:rsidRPr="000634CD">
        <w:rPr>
          <w:rFonts w:asciiTheme="majorBidi" w:hAnsiTheme="majorBidi" w:cstheme="majorBidi"/>
        </w:rPr>
        <w:t xml:space="preserve">Au cours de la période sous revue, les ressources collectées par le secteur bancaire gabonais ont enregistré une augmentation de 2,6% à 2143 milliards de FCFA. </w:t>
      </w:r>
    </w:p>
    <w:p w:rsidR="008F715D" w:rsidRPr="000634CD" w:rsidRDefault="008F715D" w:rsidP="008F715D">
      <w:pPr>
        <w:spacing w:line="276" w:lineRule="auto"/>
        <w:jc w:val="both"/>
        <w:rPr>
          <w:rFonts w:asciiTheme="majorBidi" w:hAnsiTheme="majorBidi" w:cstheme="majorBidi"/>
        </w:rPr>
      </w:pPr>
    </w:p>
    <w:p w:rsidR="008F715D" w:rsidRDefault="008F715D" w:rsidP="008F715D">
      <w:pPr>
        <w:spacing w:line="276" w:lineRule="auto"/>
        <w:jc w:val="both"/>
        <w:rPr>
          <w:rFonts w:asciiTheme="majorBidi" w:hAnsiTheme="majorBidi" w:cstheme="majorBidi"/>
        </w:rPr>
      </w:pPr>
      <w:r w:rsidRPr="000634CD">
        <w:rPr>
          <w:rFonts w:asciiTheme="majorBidi" w:hAnsiTheme="majorBidi" w:cstheme="majorBidi"/>
        </w:rPr>
        <w:t xml:space="preserve">Les ressources à vue se sont renforcées de 3,9% à 1 285 milliards de FCFA au deuxième trimestre 2016, en liaison à la hausse des dépôts publics (+11,3%) et des dépôts privés (+4,1%). Elles ont représenté 60% du total des dépôts collectés contre 59,2% l’année précédente. </w:t>
      </w:r>
    </w:p>
    <w:p w:rsidR="008F715D" w:rsidRPr="000634CD" w:rsidRDefault="008F715D" w:rsidP="008F715D">
      <w:pPr>
        <w:spacing w:line="276" w:lineRule="auto"/>
        <w:jc w:val="both"/>
        <w:rPr>
          <w:rFonts w:asciiTheme="majorBidi" w:hAnsiTheme="majorBidi" w:cstheme="majorBidi"/>
        </w:rPr>
      </w:pPr>
    </w:p>
    <w:p w:rsidR="008F715D" w:rsidRDefault="008F715D" w:rsidP="008F715D">
      <w:pPr>
        <w:spacing w:line="276" w:lineRule="auto"/>
        <w:jc w:val="both"/>
        <w:rPr>
          <w:rFonts w:asciiTheme="majorBidi" w:hAnsiTheme="majorBidi" w:cstheme="majorBidi"/>
        </w:rPr>
      </w:pPr>
      <w:r w:rsidRPr="000634CD">
        <w:rPr>
          <w:rFonts w:asciiTheme="majorBidi" w:hAnsiTheme="majorBidi" w:cstheme="majorBidi"/>
        </w:rPr>
        <w:t>Les ressources à terme collectées auprès de la clientèle, essentiellement constituées des comptes à terme et des comptes de dépôts à régime spécial (bons de caisse) se sont confortées de 1,6% à 773 milliards de FCFA en juin 2016 contre 760 milliards de FCFA une année auparavant. Elles ont ainsi représenté 36% du total des dépôts collectés.</w:t>
      </w:r>
    </w:p>
    <w:p w:rsidR="008F715D" w:rsidRPr="000634CD" w:rsidRDefault="008F715D" w:rsidP="008F715D">
      <w:pPr>
        <w:spacing w:line="276" w:lineRule="auto"/>
        <w:jc w:val="both"/>
        <w:rPr>
          <w:rFonts w:asciiTheme="majorBidi" w:hAnsiTheme="majorBidi" w:cstheme="majorBidi"/>
        </w:rPr>
      </w:pPr>
    </w:p>
    <w:tbl>
      <w:tblPr>
        <w:tblpPr w:leftFromText="141" w:rightFromText="141" w:vertAnchor="text" w:horzAnchor="margin" w:tblpXSpec="center" w:tblpY="15"/>
        <w:tblW w:w="9221" w:type="dxa"/>
        <w:tblCellMar>
          <w:left w:w="70" w:type="dxa"/>
          <w:right w:w="70" w:type="dxa"/>
        </w:tblCellMar>
        <w:tblLook w:val="04A0"/>
      </w:tblPr>
      <w:tblGrid>
        <w:gridCol w:w="6701"/>
        <w:gridCol w:w="1320"/>
        <w:gridCol w:w="1200"/>
      </w:tblGrid>
      <w:tr w:rsidR="008F715D" w:rsidRPr="00DF172B" w:rsidTr="002105A0">
        <w:trPr>
          <w:trHeight w:val="315"/>
        </w:trPr>
        <w:tc>
          <w:tcPr>
            <w:tcW w:w="6701" w:type="dxa"/>
            <w:noWrap/>
            <w:vAlign w:val="bottom"/>
            <w:hideMark/>
          </w:tcPr>
          <w:p w:rsidR="008F715D" w:rsidRPr="00DF172B" w:rsidRDefault="008F715D" w:rsidP="002105A0">
            <w:pPr>
              <w:rPr>
                <w:b/>
                <w:bCs/>
                <w:i/>
                <w:iCs/>
                <w:color w:val="000000"/>
              </w:rPr>
            </w:pPr>
            <w:r w:rsidRPr="000634CD">
              <w:rPr>
                <w:rFonts w:asciiTheme="majorBidi" w:hAnsiTheme="majorBidi" w:cstheme="majorBidi"/>
                <w:b/>
                <w:bCs/>
                <w:i/>
                <w:sz w:val="22"/>
                <w:szCs w:val="22"/>
              </w:rPr>
              <w:t>Evolution des ressources par type de comptes (en millions de FCFA)</w:t>
            </w:r>
          </w:p>
        </w:tc>
        <w:tc>
          <w:tcPr>
            <w:tcW w:w="1320" w:type="dxa"/>
            <w:noWrap/>
            <w:vAlign w:val="bottom"/>
            <w:hideMark/>
          </w:tcPr>
          <w:p w:rsidR="008F715D" w:rsidRPr="00DF172B" w:rsidRDefault="008F715D" w:rsidP="002105A0">
            <w:pPr>
              <w:jc w:val="center"/>
            </w:pPr>
          </w:p>
        </w:tc>
        <w:tc>
          <w:tcPr>
            <w:tcW w:w="1200" w:type="dxa"/>
            <w:noWrap/>
            <w:vAlign w:val="bottom"/>
            <w:hideMark/>
          </w:tcPr>
          <w:p w:rsidR="008F715D" w:rsidRPr="00DF172B" w:rsidRDefault="008F715D" w:rsidP="002105A0">
            <w:pPr>
              <w:jc w:val="both"/>
            </w:pPr>
          </w:p>
        </w:tc>
      </w:tr>
    </w:tbl>
    <w:tbl>
      <w:tblPr>
        <w:tblW w:w="9645" w:type="dxa"/>
        <w:tblInd w:w="-72" w:type="dxa"/>
        <w:tblLayout w:type="fixed"/>
        <w:tblCellMar>
          <w:left w:w="70" w:type="dxa"/>
          <w:right w:w="70" w:type="dxa"/>
        </w:tblCellMar>
        <w:tblLook w:val="04A0"/>
      </w:tblPr>
      <w:tblGrid>
        <w:gridCol w:w="4112"/>
        <w:gridCol w:w="1259"/>
        <w:gridCol w:w="1448"/>
        <w:gridCol w:w="1549"/>
        <w:gridCol w:w="1277"/>
      </w:tblGrid>
      <w:tr w:rsidR="008F715D" w:rsidRPr="000634CD" w:rsidTr="002105A0">
        <w:trPr>
          <w:trHeight w:val="345"/>
        </w:trPr>
        <w:tc>
          <w:tcPr>
            <w:tcW w:w="4112" w:type="dxa"/>
            <w:tcBorders>
              <w:top w:val="single" w:sz="12" w:space="0" w:color="0070C0"/>
              <w:left w:val="single" w:sz="12" w:space="0" w:color="0070C0"/>
              <w:bottom w:val="single" w:sz="12" w:space="0" w:color="0070C0"/>
              <w:right w:val="single" w:sz="12" w:space="0" w:color="0070C0"/>
            </w:tcBorders>
            <w:shd w:val="clear" w:color="auto" w:fill="auto"/>
            <w:noWrap/>
            <w:vAlign w:val="center"/>
            <w:hideMark/>
          </w:tcPr>
          <w:p w:rsidR="008F715D" w:rsidRPr="00D727A0" w:rsidRDefault="008F715D" w:rsidP="002105A0">
            <w:pPr>
              <w:jc w:val="both"/>
              <w:rPr>
                <w:b/>
                <w:bCs/>
                <w:color w:val="000000"/>
                <w:sz w:val="20"/>
                <w:szCs w:val="20"/>
              </w:rPr>
            </w:pPr>
            <w:r w:rsidRPr="00D727A0">
              <w:rPr>
                <w:b/>
                <w:bCs/>
                <w:color w:val="000000"/>
                <w:sz w:val="20"/>
                <w:szCs w:val="20"/>
              </w:rPr>
              <w:t>Types de comptes</w:t>
            </w:r>
          </w:p>
        </w:tc>
        <w:tc>
          <w:tcPr>
            <w:tcW w:w="1259"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D727A0" w:rsidRDefault="008F715D" w:rsidP="002105A0">
            <w:pPr>
              <w:jc w:val="center"/>
              <w:rPr>
                <w:b/>
                <w:bCs/>
                <w:color w:val="000000"/>
                <w:sz w:val="20"/>
                <w:szCs w:val="20"/>
              </w:rPr>
            </w:pPr>
            <w:r w:rsidRPr="00D727A0">
              <w:rPr>
                <w:b/>
                <w:bCs/>
                <w:color w:val="000000"/>
                <w:sz w:val="20"/>
                <w:szCs w:val="20"/>
              </w:rPr>
              <w:t>Juin 2014</w:t>
            </w:r>
          </w:p>
        </w:tc>
        <w:tc>
          <w:tcPr>
            <w:tcW w:w="1448"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D727A0" w:rsidRDefault="008F715D" w:rsidP="002105A0">
            <w:pPr>
              <w:jc w:val="center"/>
              <w:rPr>
                <w:b/>
                <w:bCs/>
                <w:color w:val="000000"/>
                <w:sz w:val="20"/>
                <w:szCs w:val="20"/>
              </w:rPr>
            </w:pPr>
            <w:r w:rsidRPr="00D727A0">
              <w:rPr>
                <w:b/>
                <w:bCs/>
                <w:color w:val="000000"/>
                <w:sz w:val="20"/>
                <w:szCs w:val="20"/>
              </w:rPr>
              <w:t>Juin 2015</w:t>
            </w:r>
          </w:p>
        </w:tc>
        <w:tc>
          <w:tcPr>
            <w:tcW w:w="1549"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D727A0" w:rsidRDefault="008F715D" w:rsidP="002105A0">
            <w:pPr>
              <w:jc w:val="center"/>
              <w:rPr>
                <w:b/>
                <w:bCs/>
                <w:color w:val="000000"/>
                <w:sz w:val="20"/>
                <w:szCs w:val="20"/>
              </w:rPr>
            </w:pPr>
            <w:r w:rsidRPr="00D727A0">
              <w:rPr>
                <w:b/>
                <w:bCs/>
                <w:color w:val="000000"/>
                <w:sz w:val="20"/>
                <w:szCs w:val="20"/>
              </w:rPr>
              <w:t>Juin 2016</w:t>
            </w:r>
          </w:p>
        </w:tc>
        <w:tc>
          <w:tcPr>
            <w:tcW w:w="1277" w:type="dxa"/>
            <w:tcBorders>
              <w:top w:val="single" w:sz="12" w:space="0" w:color="0070C0"/>
              <w:left w:val="nil"/>
              <w:bottom w:val="single" w:sz="12" w:space="0" w:color="0070C0"/>
              <w:right w:val="single" w:sz="12" w:space="0" w:color="0070C0"/>
            </w:tcBorders>
            <w:shd w:val="clear" w:color="auto" w:fill="auto"/>
            <w:vAlign w:val="bottom"/>
            <w:hideMark/>
          </w:tcPr>
          <w:p w:rsidR="008F715D" w:rsidRPr="00D727A0" w:rsidRDefault="008F715D" w:rsidP="002105A0">
            <w:pPr>
              <w:jc w:val="center"/>
              <w:rPr>
                <w:b/>
                <w:bCs/>
                <w:color w:val="000000"/>
                <w:sz w:val="20"/>
                <w:szCs w:val="20"/>
              </w:rPr>
            </w:pPr>
            <w:r w:rsidRPr="00D727A0">
              <w:rPr>
                <w:b/>
                <w:bCs/>
                <w:color w:val="000000"/>
                <w:sz w:val="20"/>
                <w:szCs w:val="20"/>
              </w:rPr>
              <w:t>2016/2015</w:t>
            </w:r>
          </w:p>
        </w:tc>
      </w:tr>
      <w:tr w:rsidR="008F715D" w:rsidRPr="000634CD" w:rsidTr="002105A0">
        <w:trPr>
          <w:trHeight w:val="345"/>
        </w:trPr>
        <w:tc>
          <w:tcPr>
            <w:tcW w:w="4112"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Comptes à vue</w:t>
            </w:r>
          </w:p>
        </w:tc>
        <w:tc>
          <w:tcPr>
            <w:tcW w:w="125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1 323 339</w:t>
            </w:r>
          </w:p>
        </w:tc>
        <w:tc>
          <w:tcPr>
            <w:tcW w:w="1448"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1 236 791</w:t>
            </w:r>
          </w:p>
        </w:tc>
        <w:tc>
          <w:tcPr>
            <w:tcW w:w="154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1 285 110</w:t>
            </w:r>
          </w:p>
        </w:tc>
        <w:tc>
          <w:tcPr>
            <w:tcW w:w="1277" w:type="dxa"/>
            <w:tcBorders>
              <w:top w:val="nil"/>
              <w:left w:val="nil"/>
              <w:bottom w:val="single" w:sz="12" w:space="0" w:color="0070C0"/>
              <w:right w:val="single" w:sz="12" w:space="0" w:color="0070C0"/>
            </w:tcBorders>
            <w:vAlign w:val="bottom"/>
            <w:hideMark/>
          </w:tcPr>
          <w:p w:rsidR="008F715D" w:rsidRPr="000634CD" w:rsidRDefault="008F715D" w:rsidP="002105A0">
            <w:pPr>
              <w:jc w:val="center"/>
              <w:rPr>
                <w:color w:val="000000"/>
                <w:sz w:val="20"/>
                <w:szCs w:val="20"/>
              </w:rPr>
            </w:pPr>
            <w:r w:rsidRPr="000634CD">
              <w:rPr>
                <w:color w:val="000000"/>
                <w:sz w:val="20"/>
                <w:szCs w:val="20"/>
              </w:rPr>
              <w:t>3,9%</w:t>
            </w:r>
          </w:p>
        </w:tc>
      </w:tr>
      <w:tr w:rsidR="008F715D" w:rsidRPr="000634CD" w:rsidTr="002105A0">
        <w:trPr>
          <w:trHeight w:val="345"/>
        </w:trPr>
        <w:tc>
          <w:tcPr>
            <w:tcW w:w="4112"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Compte à terme</w:t>
            </w:r>
          </w:p>
        </w:tc>
        <w:tc>
          <w:tcPr>
            <w:tcW w:w="125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679 184</w:t>
            </w:r>
          </w:p>
        </w:tc>
        <w:tc>
          <w:tcPr>
            <w:tcW w:w="1448"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740 960</w:t>
            </w:r>
          </w:p>
        </w:tc>
        <w:tc>
          <w:tcPr>
            <w:tcW w:w="154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753 422</w:t>
            </w:r>
          </w:p>
        </w:tc>
        <w:tc>
          <w:tcPr>
            <w:tcW w:w="1277" w:type="dxa"/>
            <w:tcBorders>
              <w:top w:val="nil"/>
              <w:left w:val="nil"/>
              <w:bottom w:val="single" w:sz="12" w:space="0" w:color="0070C0"/>
              <w:right w:val="single" w:sz="12" w:space="0" w:color="0070C0"/>
            </w:tcBorders>
            <w:vAlign w:val="bottom"/>
            <w:hideMark/>
          </w:tcPr>
          <w:p w:rsidR="008F715D" w:rsidRPr="000634CD" w:rsidRDefault="008F715D" w:rsidP="002105A0">
            <w:pPr>
              <w:jc w:val="center"/>
              <w:rPr>
                <w:color w:val="000000"/>
                <w:sz w:val="20"/>
                <w:szCs w:val="20"/>
              </w:rPr>
            </w:pPr>
            <w:r w:rsidRPr="000634CD">
              <w:rPr>
                <w:color w:val="000000"/>
                <w:sz w:val="20"/>
                <w:szCs w:val="20"/>
              </w:rPr>
              <w:t>1,7%</w:t>
            </w:r>
          </w:p>
        </w:tc>
      </w:tr>
      <w:tr w:rsidR="008F715D" w:rsidRPr="000634CD" w:rsidTr="002105A0">
        <w:trPr>
          <w:trHeight w:val="345"/>
        </w:trPr>
        <w:tc>
          <w:tcPr>
            <w:tcW w:w="4112"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Comptes de dépôts à régime spécial</w:t>
            </w:r>
          </w:p>
        </w:tc>
        <w:tc>
          <w:tcPr>
            <w:tcW w:w="125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19 260</w:t>
            </w:r>
          </w:p>
        </w:tc>
        <w:tc>
          <w:tcPr>
            <w:tcW w:w="1448"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19 469</w:t>
            </w:r>
          </w:p>
        </w:tc>
        <w:tc>
          <w:tcPr>
            <w:tcW w:w="154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19 487</w:t>
            </w:r>
          </w:p>
        </w:tc>
        <w:tc>
          <w:tcPr>
            <w:tcW w:w="1277" w:type="dxa"/>
            <w:tcBorders>
              <w:top w:val="nil"/>
              <w:left w:val="nil"/>
              <w:bottom w:val="single" w:sz="12" w:space="0" w:color="0070C0"/>
              <w:right w:val="single" w:sz="12" w:space="0" w:color="0070C0"/>
            </w:tcBorders>
            <w:vAlign w:val="bottom"/>
            <w:hideMark/>
          </w:tcPr>
          <w:p w:rsidR="008F715D" w:rsidRPr="000634CD" w:rsidRDefault="008F715D" w:rsidP="002105A0">
            <w:pPr>
              <w:jc w:val="center"/>
              <w:rPr>
                <w:color w:val="000000"/>
                <w:sz w:val="20"/>
                <w:szCs w:val="20"/>
              </w:rPr>
            </w:pPr>
            <w:r w:rsidRPr="000634CD">
              <w:rPr>
                <w:color w:val="000000"/>
                <w:sz w:val="20"/>
                <w:szCs w:val="20"/>
              </w:rPr>
              <w:t>0,1%</w:t>
            </w:r>
          </w:p>
        </w:tc>
      </w:tr>
      <w:tr w:rsidR="008F715D" w:rsidRPr="000634CD" w:rsidTr="002105A0">
        <w:trPr>
          <w:trHeight w:val="345"/>
        </w:trPr>
        <w:tc>
          <w:tcPr>
            <w:tcW w:w="4112"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Autres comptes</w:t>
            </w:r>
          </w:p>
        </w:tc>
        <w:tc>
          <w:tcPr>
            <w:tcW w:w="125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87 260</w:t>
            </w:r>
          </w:p>
        </w:tc>
        <w:tc>
          <w:tcPr>
            <w:tcW w:w="1448"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85 414</w:t>
            </w:r>
          </w:p>
        </w:tc>
        <w:tc>
          <w:tcPr>
            <w:tcW w:w="154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76 317</w:t>
            </w:r>
          </w:p>
        </w:tc>
        <w:tc>
          <w:tcPr>
            <w:tcW w:w="1277" w:type="dxa"/>
            <w:tcBorders>
              <w:top w:val="nil"/>
              <w:left w:val="nil"/>
              <w:bottom w:val="single" w:sz="12" w:space="0" w:color="0070C0"/>
              <w:right w:val="single" w:sz="12" w:space="0" w:color="0070C0"/>
            </w:tcBorders>
            <w:vAlign w:val="bottom"/>
            <w:hideMark/>
          </w:tcPr>
          <w:p w:rsidR="008F715D" w:rsidRPr="000634CD" w:rsidRDefault="008F715D" w:rsidP="002105A0">
            <w:pPr>
              <w:jc w:val="center"/>
              <w:rPr>
                <w:color w:val="FF0000"/>
                <w:sz w:val="20"/>
                <w:szCs w:val="20"/>
              </w:rPr>
            </w:pPr>
            <w:r w:rsidRPr="000634CD">
              <w:rPr>
                <w:color w:val="FF0000"/>
                <w:sz w:val="20"/>
                <w:szCs w:val="20"/>
              </w:rPr>
              <w:t>-10,7%</w:t>
            </w:r>
          </w:p>
        </w:tc>
      </w:tr>
      <w:tr w:rsidR="008F715D" w:rsidRPr="000634CD" w:rsidTr="002105A0">
        <w:trPr>
          <w:trHeight w:val="345"/>
        </w:trPr>
        <w:tc>
          <w:tcPr>
            <w:tcW w:w="4112"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Dettes rattachées</w:t>
            </w:r>
          </w:p>
        </w:tc>
        <w:tc>
          <w:tcPr>
            <w:tcW w:w="125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8 417</w:t>
            </w:r>
          </w:p>
        </w:tc>
        <w:tc>
          <w:tcPr>
            <w:tcW w:w="1448"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6 664</w:t>
            </w:r>
          </w:p>
        </w:tc>
        <w:tc>
          <w:tcPr>
            <w:tcW w:w="154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8 875</w:t>
            </w:r>
          </w:p>
        </w:tc>
        <w:tc>
          <w:tcPr>
            <w:tcW w:w="1277" w:type="dxa"/>
            <w:tcBorders>
              <w:top w:val="nil"/>
              <w:left w:val="nil"/>
              <w:bottom w:val="single" w:sz="12" w:space="0" w:color="0070C0"/>
              <w:right w:val="single" w:sz="12" w:space="0" w:color="0070C0"/>
            </w:tcBorders>
            <w:vAlign w:val="bottom"/>
            <w:hideMark/>
          </w:tcPr>
          <w:p w:rsidR="008F715D" w:rsidRPr="000634CD" w:rsidRDefault="008F715D" w:rsidP="002105A0">
            <w:pPr>
              <w:jc w:val="center"/>
              <w:rPr>
                <w:color w:val="000000"/>
                <w:sz w:val="20"/>
                <w:szCs w:val="20"/>
              </w:rPr>
            </w:pPr>
            <w:r w:rsidRPr="000634CD">
              <w:rPr>
                <w:color w:val="000000"/>
                <w:sz w:val="20"/>
                <w:szCs w:val="20"/>
              </w:rPr>
              <w:t>33,2%</w:t>
            </w:r>
          </w:p>
        </w:tc>
      </w:tr>
      <w:tr w:rsidR="008F715D" w:rsidRPr="000634CD" w:rsidTr="002105A0">
        <w:trPr>
          <w:trHeight w:val="345"/>
        </w:trPr>
        <w:tc>
          <w:tcPr>
            <w:tcW w:w="4112"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b/>
                <w:bCs/>
                <w:color w:val="000000"/>
                <w:sz w:val="20"/>
                <w:szCs w:val="20"/>
              </w:rPr>
            </w:pPr>
            <w:r w:rsidRPr="000634CD">
              <w:rPr>
                <w:b/>
                <w:bCs/>
                <w:color w:val="000000"/>
                <w:sz w:val="20"/>
                <w:szCs w:val="20"/>
              </w:rPr>
              <w:t>TOTAL DES DEPOTS</w:t>
            </w:r>
          </w:p>
        </w:tc>
        <w:tc>
          <w:tcPr>
            <w:tcW w:w="125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b/>
                <w:bCs/>
                <w:color w:val="000000"/>
                <w:sz w:val="20"/>
                <w:szCs w:val="20"/>
              </w:rPr>
            </w:pPr>
            <w:r w:rsidRPr="000634CD">
              <w:rPr>
                <w:b/>
                <w:bCs/>
                <w:color w:val="000000"/>
                <w:sz w:val="20"/>
                <w:szCs w:val="20"/>
              </w:rPr>
              <w:t>2 117 460</w:t>
            </w:r>
          </w:p>
        </w:tc>
        <w:tc>
          <w:tcPr>
            <w:tcW w:w="1448"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b/>
                <w:bCs/>
                <w:color w:val="000000"/>
                <w:sz w:val="20"/>
                <w:szCs w:val="20"/>
              </w:rPr>
            </w:pPr>
            <w:r w:rsidRPr="000634CD">
              <w:rPr>
                <w:b/>
                <w:bCs/>
                <w:color w:val="000000"/>
                <w:sz w:val="20"/>
                <w:szCs w:val="20"/>
              </w:rPr>
              <w:t>2 089 298</w:t>
            </w:r>
          </w:p>
        </w:tc>
        <w:tc>
          <w:tcPr>
            <w:tcW w:w="154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b/>
                <w:bCs/>
                <w:color w:val="000000"/>
                <w:sz w:val="20"/>
                <w:szCs w:val="20"/>
              </w:rPr>
            </w:pPr>
            <w:r w:rsidRPr="000634CD">
              <w:rPr>
                <w:b/>
                <w:bCs/>
                <w:color w:val="000000"/>
                <w:sz w:val="20"/>
                <w:szCs w:val="20"/>
              </w:rPr>
              <w:t>2 143 211</w:t>
            </w:r>
          </w:p>
        </w:tc>
        <w:tc>
          <w:tcPr>
            <w:tcW w:w="1277" w:type="dxa"/>
            <w:tcBorders>
              <w:top w:val="nil"/>
              <w:left w:val="nil"/>
              <w:bottom w:val="single" w:sz="12" w:space="0" w:color="0070C0"/>
              <w:right w:val="single" w:sz="12" w:space="0" w:color="0070C0"/>
            </w:tcBorders>
            <w:vAlign w:val="bottom"/>
            <w:hideMark/>
          </w:tcPr>
          <w:p w:rsidR="008F715D" w:rsidRPr="000634CD" w:rsidRDefault="008F715D" w:rsidP="002105A0">
            <w:pPr>
              <w:jc w:val="center"/>
              <w:rPr>
                <w:b/>
                <w:bCs/>
                <w:color w:val="000000"/>
                <w:sz w:val="20"/>
                <w:szCs w:val="20"/>
              </w:rPr>
            </w:pPr>
            <w:r w:rsidRPr="000634CD">
              <w:rPr>
                <w:b/>
                <w:bCs/>
                <w:color w:val="000000"/>
                <w:sz w:val="20"/>
                <w:szCs w:val="20"/>
              </w:rPr>
              <w:t>2,6%</w:t>
            </w:r>
          </w:p>
        </w:tc>
      </w:tr>
    </w:tbl>
    <w:p w:rsidR="008F715D" w:rsidRPr="005D514F" w:rsidRDefault="008F715D" w:rsidP="008F715D">
      <w:pPr>
        <w:jc w:val="both"/>
        <w:rPr>
          <w:sz w:val="20"/>
          <w:szCs w:val="20"/>
        </w:rPr>
      </w:pPr>
      <w:r w:rsidRPr="005D514F">
        <w:rPr>
          <w:sz w:val="20"/>
          <w:szCs w:val="20"/>
        </w:rPr>
        <w:t xml:space="preserve">Sources : </w:t>
      </w:r>
      <w:r w:rsidRPr="005D514F">
        <w:rPr>
          <w:i/>
          <w:sz w:val="20"/>
          <w:szCs w:val="20"/>
        </w:rPr>
        <w:t>Banques / DGEPF</w:t>
      </w:r>
    </w:p>
    <w:p w:rsidR="008F715D" w:rsidRPr="00B02DAA" w:rsidRDefault="008F715D" w:rsidP="008F715D">
      <w:pPr>
        <w:pStyle w:val="Sansinterligne"/>
        <w:jc w:val="both"/>
        <w:rPr>
          <w:rFonts w:ascii="Times New Roman" w:hAnsi="Times New Roman"/>
          <w:b/>
          <w:sz w:val="20"/>
        </w:rPr>
      </w:pPr>
    </w:p>
    <w:p w:rsidR="008F715D" w:rsidRDefault="008F715D" w:rsidP="008F715D">
      <w:pPr>
        <w:spacing w:line="276" w:lineRule="auto"/>
        <w:jc w:val="both"/>
        <w:rPr>
          <w:rFonts w:asciiTheme="majorBidi" w:hAnsiTheme="majorBidi" w:cstheme="majorBidi"/>
        </w:rPr>
      </w:pPr>
      <w:r w:rsidRPr="000634CD">
        <w:rPr>
          <w:rFonts w:asciiTheme="majorBidi" w:hAnsiTheme="majorBidi" w:cstheme="majorBidi"/>
        </w:rPr>
        <w:t xml:space="preserve">Les dépôts publics ont augmenté de 13,1% à 309 milliards de FCFA au second trimestre 2016. Ils ont représenté 14,4% du total des dépôts en juin 2016 contre 13,1% en juin 2015. Les dépôts des entreprises publiques ont baissé de 36,1% pour s’établir à 47 milliards de FCFA, représentant 2,2% des dépôts collectés. </w:t>
      </w:r>
    </w:p>
    <w:p w:rsidR="008F715D" w:rsidRPr="000634CD" w:rsidRDefault="008F715D" w:rsidP="008F715D">
      <w:pPr>
        <w:spacing w:line="276" w:lineRule="auto"/>
        <w:jc w:val="both"/>
        <w:rPr>
          <w:rFonts w:asciiTheme="majorBidi" w:hAnsiTheme="majorBidi" w:cstheme="majorBidi"/>
        </w:rPr>
      </w:pPr>
    </w:p>
    <w:p w:rsidR="008F715D" w:rsidRPr="000634CD" w:rsidRDefault="008F715D" w:rsidP="008F715D">
      <w:pPr>
        <w:spacing w:line="276" w:lineRule="auto"/>
        <w:jc w:val="both"/>
        <w:rPr>
          <w:rFonts w:asciiTheme="majorBidi" w:hAnsiTheme="majorBidi" w:cstheme="majorBidi"/>
        </w:rPr>
      </w:pPr>
      <w:r w:rsidRPr="000634CD">
        <w:rPr>
          <w:rFonts w:asciiTheme="majorBidi" w:hAnsiTheme="majorBidi" w:cstheme="majorBidi"/>
        </w:rPr>
        <w:t xml:space="preserve">Par ailleurs, les dépôts du secteur privé se sont consolidés de 4,1% </w:t>
      </w:r>
      <w:r>
        <w:rPr>
          <w:rFonts w:asciiTheme="majorBidi" w:hAnsiTheme="majorBidi" w:cstheme="majorBidi"/>
        </w:rPr>
        <w:t xml:space="preserve">à 1 </w:t>
      </w:r>
      <w:r w:rsidRPr="000634CD">
        <w:rPr>
          <w:rFonts w:asciiTheme="majorBidi" w:hAnsiTheme="majorBidi" w:cstheme="majorBidi"/>
        </w:rPr>
        <w:t xml:space="preserve">669 milliards de FCFA à fin juin 2016. Ils ont représenté 77,9% du total des dépôts contre 76,7% l’année précédente. </w:t>
      </w:r>
    </w:p>
    <w:p w:rsidR="008F715D" w:rsidRDefault="008F715D" w:rsidP="008F715D">
      <w:pPr>
        <w:rPr>
          <w:rFonts w:asciiTheme="majorBidi" w:hAnsiTheme="majorBidi" w:cstheme="majorBidi"/>
          <w:b/>
          <w:bCs/>
          <w:sz w:val="22"/>
          <w:szCs w:val="22"/>
        </w:rPr>
      </w:pPr>
    </w:p>
    <w:p w:rsidR="008F715D" w:rsidRPr="00B02DAA" w:rsidRDefault="008F715D" w:rsidP="008F715D">
      <w:pPr>
        <w:rPr>
          <w:rFonts w:asciiTheme="majorBidi" w:hAnsiTheme="majorBidi" w:cstheme="majorBidi"/>
          <w:b/>
          <w:bCs/>
          <w:sz w:val="22"/>
          <w:szCs w:val="22"/>
        </w:rPr>
      </w:pPr>
    </w:p>
    <w:p w:rsidR="008F715D" w:rsidRPr="000634CD" w:rsidRDefault="008F715D" w:rsidP="008F715D">
      <w:pPr>
        <w:rPr>
          <w:rFonts w:asciiTheme="majorBidi" w:hAnsiTheme="majorBidi" w:cstheme="majorBidi"/>
          <w:b/>
          <w:bCs/>
          <w:i/>
          <w:sz w:val="22"/>
          <w:szCs w:val="22"/>
        </w:rPr>
      </w:pPr>
      <w:r w:rsidRPr="000634CD">
        <w:rPr>
          <w:rFonts w:asciiTheme="majorBidi" w:hAnsiTheme="majorBidi" w:cstheme="majorBidi"/>
          <w:b/>
          <w:bCs/>
          <w:i/>
          <w:sz w:val="22"/>
          <w:szCs w:val="22"/>
        </w:rPr>
        <w:t>Evolution des dépôts par type de déposants (en millions de FCFA)</w:t>
      </w:r>
    </w:p>
    <w:tbl>
      <w:tblPr>
        <w:tblW w:w="9513" w:type="dxa"/>
        <w:jc w:val="center"/>
        <w:tblCellMar>
          <w:left w:w="70" w:type="dxa"/>
          <w:right w:w="70" w:type="dxa"/>
        </w:tblCellMar>
        <w:tblLook w:val="04A0"/>
      </w:tblPr>
      <w:tblGrid>
        <w:gridCol w:w="3380"/>
        <w:gridCol w:w="1360"/>
        <w:gridCol w:w="1383"/>
        <w:gridCol w:w="214"/>
        <w:gridCol w:w="1256"/>
        <w:gridCol w:w="374"/>
        <w:gridCol w:w="1327"/>
        <w:gridCol w:w="219"/>
      </w:tblGrid>
      <w:tr w:rsidR="008F715D" w:rsidRPr="000634CD" w:rsidTr="002105A0">
        <w:trPr>
          <w:trHeight w:val="345"/>
          <w:jc w:val="center"/>
        </w:trPr>
        <w:tc>
          <w:tcPr>
            <w:tcW w:w="3380" w:type="dxa"/>
            <w:tcBorders>
              <w:top w:val="single" w:sz="12" w:space="0" w:color="0070C0"/>
              <w:left w:val="single" w:sz="12" w:space="0" w:color="0070C0"/>
              <w:bottom w:val="single" w:sz="12" w:space="0" w:color="0070C0"/>
              <w:right w:val="single" w:sz="12" w:space="0" w:color="0070C0"/>
            </w:tcBorders>
            <w:shd w:val="clear" w:color="auto" w:fill="auto"/>
            <w:noWrap/>
            <w:vAlign w:val="center"/>
            <w:hideMark/>
          </w:tcPr>
          <w:p w:rsidR="008F715D" w:rsidRPr="000634CD" w:rsidRDefault="008F715D" w:rsidP="002105A0">
            <w:pPr>
              <w:jc w:val="both"/>
              <w:rPr>
                <w:b/>
                <w:bCs/>
                <w:color w:val="000000"/>
                <w:sz w:val="20"/>
                <w:szCs w:val="20"/>
              </w:rPr>
            </w:pPr>
            <w:r w:rsidRPr="000634CD">
              <w:rPr>
                <w:b/>
                <w:bCs/>
                <w:color w:val="000000"/>
                <w:sz w:val="20"/>
                <w:szCs w:val="20"/>
              </w:rPr>
              <w:t>Dépôts de la clientèle</w:t>
            </w:r>
          </w:p>
        </w:tc>
        <w:tc>
          <w:tcPr>
            <w:tcW w:w="1360" w:type="dxa"/>
            <w:tcBorders>
              <w:top w:val="single" w:sz="12" w:space="0" w:color="0070C0"/>
              <w:left w:val="nil"/>
              <w:bottom w:val="single" w:sz="12" w:space="0" w:color="0070C0"/>
              <w:right w:val="single" w:sz="12" w:space="0" w:color="0070C0"/>
            </w:tcBorders>
            <w:shd w:val="clear" w:color="auto" w:fill="auto"/>
            <w:noWrap/>
            <w:vAlign w:val="center"/>
            <w:hideMark/>
          </w:tcPr>
          <w:p w:rsidR="008F715D" w:rsidRPr="000634CD" w:rsidRDefault="008F715D" w:rsidP="002105A0">
            <w:pPr>
              <w:jc w:val="center"/>
              <w:rPr>
                <w:b/>
                <w:bCs/>
                <w:color w:val="000000"/>
                <w:sz w:val="20"/>
                <w:szCs w:val="20"/>
              </w:rPr>
            </w:pPr>
            <w:r>
              <w:rPr>
                <w:b/>
                <w:bCs/>
                <w:color w:val="000000"/>
                <w:sz w:val="20"/>
                <w:szCs w:val="20"/>
              </w:rPr>
              <w:t xml:space="preserve">Juin </w:t>
            </w:r>
            <w:r w:rsidRPr="000634CD">
              <w:rPr>
                <w:b/>
                <w:bCs/>
                <w:color w:val="000000"/>
                <w:sz w:val="20"/>
                <w:szCs w:val="20"/>
              </w:rPr>
              <w:t>2014</w:t>
            </w:r>
          </w:p>
        </w:tc>
        <w:tc>
          <w:tcPr>
            <w:tcW w:w="1383" w:type="dxa"/>
            <w:tcBorders>
              <w:top w:val="single" w:sz="12" w:space="0" w:color="0070C0"/>
              <w:left w:val="nil"/>
              <w:bottom w:val="single" w:sz="12" w:space="0" w:color="0070C0"/>
              <w:right w:val="nil"/>
            </w:tcBorders>
            <w:shd w:val="clear" w:color="auto" w:fill="auto"/>
            <w:vAlign w:val="bottom"/>
            <w:hideMark/>
          </w:tcPr>
          <w:p w:rsidR="008F715D" w:rsidRPr="000634CD" w:rsidRDefault="008F715D" w:rsidP="002105A0">
            <w:pPr>
              <w:jc w:val="center"/>
              <w:rPr>
                <w:b/>
                <w:bCs/>
                <w:color w:val="000000"/>
                <w:sz w:val="20"/>
                <w:szCs w:val="20"/>
              </w:rPr>
            </w:pPr>
            <w:r>
              <w:rPr>
                <w:b/>
                <w:bCs/>
                <w:color w:val="000000"/>
                <w:sz w:val="20"/>
                <w:szCs w:val="20"/>
              </w:rPr>
              <w:t xml:space="preserve">Juin </w:t>
            </w:r>
            <w:r w:rsidRPr="000634CD">
              <w:rPr>
                <w:b/>
                <w:bCs/>
                <w:color w:val="000000"/>
                <w:sz w:val="20"/>
                <w:szCs w:val="20"/>
              </w:rPr>
              <w:t>2015</w:t>
            </w:r>
          </w:p>
        </w:tc>
        <w:tc>
          <w:tcPr>
            <w:tcW w:w="214" w:type="dxa"/>
            <w:tcBorders>
              <w:top w:val="single" w:sz="12" w:space="0" w:color="0070C0"/>
              <w:left w:val="nil"/>
              <w:bottom w:val="single" w:sz="12" w:space="0" w:color="0070C0"/>
              <w:right w:val="single" w:sz="12" w:space="0" w:color="0070C0"/>
            </w:tcBorders>
            <w:shd w:val="clear" w:color="auto" w:fill="auto"/>
            <w:noWrap/>
            <w:vAlign w:val="center"/>
            <w:hideMark/>
          </w:tcPr>
          <w:p w:rsidR="008F715D" w:rsidRPr="000634CD" w:rsidRDefault="008F715D" w:rsidP="002105A0">
            <w:pPr>
              <w:jc w:val="center"/>
              <w:rPr>
                <w:sz w:val="20"/>
                <w:szCs w:val="20"/>
              </w:rPr>
            </w:pPr>
          </w:p>
        </w:tc>
        <w:tc>
          <w:tcPr>
            <w:tcW w:w="1256" w:type="dxa"/>
            <w:tcBorders>
              <w:top w:val="single" w:sz="12" w:space="0" w:color="0070C0"/>
              <w:left w:val="nil"/>
              <w:bottom w:val="single" w:sz="12" w:space="0" w:color="0070C0"/>
              <w:right w:val="nil"/>
            </w:tcBorders>
            <w:shd w:val="clear" w:color="auto" w:fill="auto"/>
            <w:vAlign w:val="bottom"/>
            <w:hideMark/>
          </w:tcPr>
          <w:p w:rsidR="008F715D" w:rsidRPr="000634CD" w:rsidRDefault="008F715D" w:rsidP="002105A0">
            <w:pPr>
              <w:jc w:val="center"/>
              <w:rPr>
                <w:b/>
                <w:bCs/>
                <w:color w:val="000000"/>
                <w:sz w:val="20"/>
                <w:szCs w:val="20"/>
              </w:rPr>
            </w:pPr>
            <w:r>
              <w:rPr>
                <w:b/>
                <w:bCs/>
                <w:color w:val="000000"/>
                <w:sz w:val="20"/>
                <w:szCs w:val="20"/>
              </w:rPr>
              <w:t xml:space="preserve">Juin </w:t>
            </w:r>
            <w:r w:rsidRPr="000634CD">
              <w:rPr>
                <w:b/>
                <w:bCs/>
                <w:color w:val="000000"/>
                <w:sz w:val="20"/>
                <w:szCs w:val="20"/>
              </w:rPr>
              <w:t>2016</w:t>
            </w:r>
          </w:p>
        </w:tc>
        <w:tc>
          <w:tcPr>
            <w:tcW w:w="374" w:type="dxa"/>
            <w:tcBorders>
              <w:top w:val="single" w:sz="12" w:space="0" w:color="0070C0"/>
              <w:left w:val="nil"/>
              <w:bottom w:val="single" w:sz="12" w:space="0" w:color="0070C0"/>
              <w:right w:val="single" w:sz="12" w:space="0" w:color="0070C0"/>
            </w:tcBorders>
            <w:shd w:val="clear" w:color="auto" w:fill="auto"/>
            <w:noWrap/>
            <w:vAlign w:val="center"/>
            <w:hideMark/>
          </w:tcPr>
          <w:p w:rsidR="008F715D" w:rsidRPr="000634CD" w:rsidRDefault="008F715D" w:rsidP="002105A0">
            <w:pPr>
              <w:jc w:val="center"/>
              <w:rPr>
                <w:sz w:val="20"/>
                <w:szCs w:val="20"/>
              </w:rPr>
            </w:pPr>
          </w:p>
        </w:tc>
        <w:tc>
          <w:tcPr>
            <w:tcW w:w="1327" w:type="dxa"/>
            <w:tcBorders>
              <w:top w:val="single" w:sz="12" w:space="0" w:color="0070C0"/>
              <w:left w:val="nil"/>
              <w:bottom w:val="single" w:sz="12" w:space="0" w:color="0070C0"/>
              <w:right w:val="nil"/>
            </w:tcBorders>
            <w:shd w:val="clear" w:color="auto" w:fill="auto"/>
            <w:vAlign w:val="bottom"/>
            <w:hideMark/>
          </w:tcPr>
          <w:p w:rsidR="008F715D" w:rsidRPr="000634CD" w:rsidRDefault="008F715D" w:rsidP="002105A0">
            <w:pPr>
              <w:jc w:val="center"/>
              <w:rPr>
                <w:b/>
                <w:bCs/>
                <w:color w:val="000000"/>
                <w:sz w:val="20"/>
                <w:szCs w:val="20"/>
              </w:rPr>
            </w:pPr>
            <w:r w:rsidRPr="000634CD">
              <w:rPr>
                <w:b/>
                <w:bCs/>
                <w:color w:val="000000"/>
                <w:sz w:val="20"/>
                <w:szCs w:val="20"/>
              </w:rPr>
              <w:t>2016/2015</w:t>
            </w:r>
          </w:p>
        </w:tc>
        <w:tc>
          <w:tcPr>
            <w:tcW w:w="219" w:type="dxa"/>
            <w:tcBorders>
              <w:top w:val="single" w:sz="12" w:space="0" w:color="0070C0"/>
              <w:left w:val="nil"/>
              <w:bottom w:val="single" w:sz="12" w:space="0" w:color="0070C0"/>
              <w:right w:val="single" w:sz="12" w:space="0" w:color="0070C0"/>
            </w:tcBorders>
          </w:tcPr>
          <w:p w:rsidR="008F715D" w:rsidRPr="000634CD" w:rsidRDefault="008F715D" w:rsidP="002105A0">
            <w:pPr>
              <w:jc w:val="both"/>
              <w:rPr>
                <w:b/>
                <w:bCs/>
                <w:color w:val="000000"/>
                <w:sz w:val="20"/>
                <w:szCs w:val="20"/>
              </w:rPr>
            </w:pPr>
          </w:p>
        </w:tc>
      </w:tr>
      <w:tr w:rsidR="008F715D" w:rsidRPr="000634CD" w:rsidTr="002105A0">
        <w:trPr>
          <w:trHeight w:val="345"/>
          <w:jc w:val="center"/>
        </w:trPr>
        <w:tc>
          <w:tcPr>
            <w:tcW w:w="3380"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Dépôts publics</w:t>
            </w:r>
          </w:p>
        </w:tc>
        <w:tc>
          <w:tcPr>
            <w:tcW w:w="1360"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298 839</w:t>
            </w:r>
          </w:p>
        </w:tc>
        <w:tc>
          <w:tcPr>
            <w:tcW w:w="1383"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273 629</w:t>
            </w:r>
          </w:p>
        </w:tc>
        <w:tc>
          <w:tcPr>
            <w:tcW w:w="21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color w:val="000000"/>
                <w:sz w:val="20"/>
                <w:szCs w:val="20"/>
              </w:rPr>
            </w:pPr>
          </w:p>
        </w:tc>
        <w:tc>
          <w:tcPr>
            <w:tcW w:w="1256"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309 543</w:t>
            </w:r>
          </w:p>
        </w:tc>
        <w:tc>
          <w:tcPr>
            <w:tcW w:w="37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sz w:val="20"/>
                <w:szCs w:val="20"/>
              </w:rPr>
            </w:pPr>
          </w:p>
        </w:tc>
        <w:tc>
          <w:tcPr>
            <w:tcW w:w="1327"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13,1%</w:t>
            </w:r>
          </w:p>
        </w:tc>
        <w:tc>
          <w:tcPr>
            <w:tcW w:w="219" w:type="dxa"/>
            <w:tcBorders>
              <w:top w:val="nil"/>
              <w:left w:val="nil"/>
              <w:bottom w:val="single" w:sz="12" w:space="0" w:color="0070C0"/>
              <w:right w:val="single" w:sz="12" w:space="0" w:color="0070C0"/>
            </w:tcBorders>
          </w:tcPr>
          <w:p w:rsidR="008F715D" w:rsidRPr="000634CD" w:rsidRDefault="008F715D" w:rsidP="002105A0">
            <w:pPr>
              <w:jc w:val="both"/>
              <w:rPr>
                <w:color w:val="000000"/>
                <w:sz w:val="20"/>
                <w:szCs w:val="20"/>
              </w:rPr>
            </w:pPr>
          </w:p>
        </w:tc>
      </w:tr>
      <w:tr w:rsidR="008F715D" w:rsidRPr="000634CD" w:rsidTr="002105A0">
        <w:trPr>
          <w:trHeight w:val="345"/>
          <w:jc w:val="center"/>
        </w:trPr>
        <w:tc>
          <w:tcPr>
            <w:tcW w:w="3380"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Dépôts des entreprises publiques</w:t>
            </w:r>
          </w:p>
        </w:tc>
        <w:tc>
          <w:tcPr>
            <w:tcW w:w="1360"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66 373</w:t>
            </w:r>
          </w:p>
        </w:tc>
        <w:tc>
          <w:tcPr>
            <w:tcW w:w="1383"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74 239</w:t>
            </w:r>
          </w:p>
        </w:tc>
        <w:tc>
          <w:tcPr>
            <w:tcW w:w="21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color w:val="000000"/>
                <w:sz w:val="20"/>
                <w:szCs w:val="20"/>
              </w:rPr>
            </w:pPr>
          </w:p>
        </w:tc>
        <w:tc>
          <w:tcPr>
            <w:tcW w:w="1256"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47 418</w:t>
            </w:r>
          </w:p>
        </w:tc>
        <w:tc>
          <w:tcPr>
            <w:tcW w:w="37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sz w:val="20"/>
                <w:szCs w:val="20"/>
              </w:rPr>
            </w:pPr>
          </w:p>
        </w:tc>
        <w:tc>
          <w:tcPr>
            <w:tcW w:w="1327" w:type="dxa"/>
            <w:tcBorders>
              <w:top w:val="nil"/>
              <w:left w:val="nil"/>
              <w:bottom w:val="single" w:sz="12" w:space="0" w:color="0070C0"/>
              <w:right w:val="nil"/>
            </w:tcBorders>
            <w:vAlign w:val="bottom"/>
            <w:hideMark/>
          </w:tcPr>
          <w:p w:rsidR="008F715D" w:rsidRPr="000634CD" w:rsidRDefault="008F715D" w:rsidP="002105A0">
            <w:pPr>
              <w:jc w:val="center"/>
              <w:rPr>
                <w:color w:val="FF0000"/>
                <w:sz w:val="20"/>
                <w:szCs w:val="20"/>
              </w:rPr>
            </w:pPr>
            <w:r w:rsidRPr="000634CD">
              <w:rPr>
                <w:color w:val="FF0000"/>
                <w:sz w:val="20"/>
                <w:szCs w:val="20"/>
              </w:rPr>
              <w:t>-36,1%</w:t>
            </w:r>
          </w:p>
        </w:tc>
        <w:tc>
          <w:tcPr>
            <w:tcW w:w="219" w:type="dxa"/>
            <w:tcBorders>
              <w:top w:val="nil"/>
              <w:left w:val="nil"/>
              <w:bottom w:val="single" w:sz="12" w:space="0" w:color="0070C0"/>
              <w:right w:val="single" w:sz="12" w:space="0" w:color="0070C0"/>
            </w:tcBorders>
          </w:tcPr>
          <w:p w:rsidR="008F715D" w:rsidRPr="000634CD" w:rsidRDefault="008F715D" w:rsidP="002105A0">
            <w:pPr>
              <w:jc w:val="both"/>
              <w:rPr>
                <w:color w:val="000000"/>
                <w:sz w:val="20"/>
                <w:szCs w:val="20"/>
              </w:rPr>
            </w:pPr>
          </w:p>
        </w:tc>
      </w:tr>
      <w:tr w:rsidR="008F715D" w:rsidRPr="000634CD" w:rsidTr="002105A0">
        <w:trPr>
          <w:trHeight w:val="420"/>
          <w:jc w:val="center"/>
        </w:trPr>
        <w:tc>
          <w:tcPr>
            <w:tcW w:w="3380"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Dépôts privés</w:t>
            </w:r>
          </w:p>
        </w:tc>
        <w:tc>
          <w:tcPr>
            <w:tcW w:w="1360"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1 627 468</w:t>
            </w:r>
          </w:p>
        </w:tc>
        <w:tc>
          <w:tcPr>
            <w:tcW w:w="1383"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1 603 511</w:t>
            </w:r>
          </w:p>
        </w:tc>
        <w:tc>
          <w:tcPr>
            <w:tcW w:w="21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color w:val="000000"/>
                <w:sz w:val="20"/>
                <w:szCs w:val="20"/>
              </w:rPr>
            </w:pPr>
          </w:p>
        </w:tc>
        <w:tc>
          <w:tcPr>
            <w:tcW w:w="1256"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1 668 923</w:t>
            </w:r>
          </w:p>
        </w:tc>
        <w:tc>
          <w:tcPr>
            <w:tcW w:w="37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sz w:val="20"/>
                <w:szCs w:val="20"/>
              </w:rPr>
            </w:pPr>
          </w:p>
        </w:tc>
        <w:tc>
          <w:tcPr>
            <w:tcW w:w="1327"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4,1%</w:t>
            </w:r>
          </w:p>
        </w:tc>
        <w:tc>
          <w:tcPr>
            <w:tcW w:w="219" w:type="dxa"/>
            <w:tcBorders>
              <w:top w:val="nil"/>
              <w:left w:val="nil"/>
              <w:bottom w:val="single" w:sz="12" w:space="0" w:color="0070C0"/>
              <w:right w:val="single" w:sz="12" w:space="0" w:color="0070C0"/>
            </w:tcBorders>
          </w:tcPr>
          <w:p w:rsidR="008F715D" w:rsidRPr="000634CD" w:rsidRDefault="008F715D" w:rsidP="002105A0">
            <w:pPr>
              <w:jc w:val="both"/>
              <w:rPr>
                <w:color w:val="000000"/>
                <w:sz w:val="20"/>
                <w:szCs w:val="20"/>
              </w:rPr>
            </w:pPr>
          </w:p>
        </w:tc>
      </w:tr>
      <w:tr w:rsidR="008F715D" w:rsidRPr="000634CD" w:rsidTr="002105A0">
        <w:trPr>
          <w:trHeight w:val="345"/>
          <w:jc w:val="center"/>
        </w:trPr>
        <w:tc>
          <w:tcPr>
            <w:tcW w:w="3380"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dépôts des non résidents</w:t>
            </w:r>
          </w:p>
        </w:tc>
        <w:tc>
          <w:tcPr>
            <w:tcW w:w="1360"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29 101</w:t>
            </w:r>
          </w:p>
        </w:tc>
        <w:tc>
          <w:tcPr>
            <w:tcW w:w="1383"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45 842</w:t>
            </w:r>
          </w:p>
        </w:tc>
        <w:tc>
          <w:tcPr>
            <w:tcW w:w="21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color w:val="000000"/>
                <w:sz w:val="20"/>
                <w:szCs w:val="20"/>
              </w:rPr>
            </w:pPr>
          </w:p>
        </w:tc>
        <w:tc>
          <w:tcPr>
            <w:tcW w:w="1256"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32 135</w:t>
            </w:r>
          </w:p>
        </w:tc>
        <w:tc>
          <w:tcPr>
            <w:tcW w:w="37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sz w:val="20"/>
                <w:szCs w:val="20"/>
              </w:rPr>
            </w:pPr>
          </w:p>
        </w:tc>
        <w:tc>
          <w:tcPr>
            <w:tcW w:w="1327" w:type="dxa"/>
            <w:tcBorders>
              <w:top w:val="nil"/>
              <w:left w:val="nil"/>
              <w:bottom w:val="single" w:sz="12" w:space="0" w:color="0070C0"/>
              <w:right w:val="nil"/>
            </w:tcBorders>
            <w:vAlign w:val="bottom"/>
            <w:hideMark/>
          </w:tcPr>
          <w:p w:rsidR="008F715D" w:rsidRPr="000634CD" w:rsidRDefault="008F715D" w:rsidP="002105A0">
            <w:pPr>
              <w:jc w:val="center"/>
              <w:rPr>
                <w:color w:val="FF0000"/>
                <w:sz w:val="20"/>
                <w:szCs w:val="20"/>
              </w:rPr>
            </w:pPr>
            <w:r w:rsidRPr="000634CD">
              <w:rPr>
                <w:color w:val="FF0000"/>
                <w:sz w:val="20"/>
                <w:szCs w:val="20"/>
              </w:rPr>
              <w:t>-29,9%</w:t>
            </w:r>
          </w:p>
        </w:tc>
        <w:tc>
          <w:tcPr>
            <w:tcW w:w="219" w:type="dxa"/>
            <w:tcBorders>
              <w:top w:val="nil"/>
              <w:left w:val="nil"/>
              <w:bottom w:val="single" w:sz="12" w:space="0" w:color="0070C0"/>
              <w:right w:val="single" w:sz="12" w:space="0" w:color="0070C0"/>
            </w:tcBorders>
          </w:tcPr>
          <w:p w:rsidR="008F715D" w:rsidRPr="000634CD" w:rsidRDefault="008F715D" w:rsidP="002105A0">
            <w:pPr>
              <w:jc w:val="both"/>
              <w:rPr>
                <w:color w:val="000000"/>
                <w:sz w:val="20"/>
                <w:szCs w:val="20"/>
              </w:rPr>
            </w:pPr>
          </w:p>
        </w:tc>
      </w:tr>
      <w:tr w:rsidR="008F715D" w:rsidRPr="000634CD" w:rsidTr="002105A0">
        <w:trPr>
          <w:trHeight w:val="345"/>
          <w:jc w:val="center"/>
        </w:trPr>
        <w:tc>
          <w:tcPr>
            <w:tcW w:w="3380"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dépôts non ventilés</w:t>
            </w:r>
          </w:p>
        </w:tc>
        <w:tc>
          <w:tcPr>
            <w:tcW w:w="1360"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95 677</w:t>
            </w:r>
          </w:p>
        </w:tc>
        <w:tc>
          <w:tcPr>
            <w:tcW w:w="1383"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92 078</w:t>
            </w:r>
          </w:p>
        </w:tc>
        <w:tc>
          <w:tcPr>
            <w:tcW w:w="21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color w:val="000000"/>
                <w:sz w:val="20"/>
                <w:szCs w:val="20"/>
              </w:rPr>
            </w:pPr>
          </w:p>
        </w:tc>
        <w:tc>
          <w:tcPr>
            <w:tcW w:w="1256"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85 192</w:t>
            </w:r>
          </w:p>
        </w:tc>
        <w:tc>
          <w:tcPr>
            <w:tcW w:w="37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sz w:val="20"/>
                <w:szCs w:val="20"/>
              </w:rPr>
            </w:pPr>
          </w:p>
        </w:tc>
        <w:tc>
          <w:tcPr>
            <w:tcW w:w="1327" w:type="dxa"/>
            <w:tcBorders>
              <w:top w:val="nil"/>
              <w:left w:val="nil"/>
              <w:bottom w:val="single" w:sz="12" w:space="0" w:color="0070C0"/>
              <w:right w:val="nil"/>
            </w:tcBorders>
            <w:vAlign w:val="bottom"/>
            <w:hideMark/>
          </w:tcPr>
          <w:p w:rsidR="008F715D" w:rsidRPr="000634CD" w:rsidRDefault="008F715D" w:rsidP="002105A0">
            <w:pPr>
              <w:jc w:val="center"/>
              <w:rPr>
                <w:color w:val="FF0000"/>
                <w:sz w:val="20"/>
                <w:szCs w:val="20"/>
              </w:rPr>
            </w:pPr>
            <w:r w:rsidRPr="000634CD">
              <w:rPr>
                <w:color w:val="FF0000"/>
                <w:sz w:val="20"/>
                <w:szCs w:val="20"/>
              </w:rPr>
              <w:t>-7,5%</w:t>
            </w:r>
          </w:p>
        </w:tc>
        <w:tc>
          <w:tcPr>
            <w:tcW w:w="219" w:type="dxa"/>
            <w:tcBorders>
              <w:top w:val="nil"/>
              <w:left w:val="nil"/>
              <w:bottom w:val="single" w:sz="12" w:space="0" w:color="0070C0"/>
              <w:right w:val="single" w:sz="12" w:space="0" w:color="0070C0"/>
            </w:tcBorders>
          </w:tcPr>
          <w:p w:rsidR="008F715D" w:rsidRPr="000634CD" w:rsidRDefault="008F715D" w:rsidP="002105A0">
            <w:pPr>
              <w:jc w:val="both"/>
              <w:rPr>
                <w:color w:val="000000"/>
                <w:sz w:val="20"/>
                <w:szCs w:val="20"/>
              </w:rPr>
            </w:pPr>
          </w:p>
        </w:tc>
      </w:tr>
      <w:tr w:rsidR="008F715D" w:rsidRPr="000634CD" w:rsidTr="002105A0">
        <w:trPr>
          <w:trHeight w:val="328"/>
          <w:jc w:val="center"/>
        </w:trPr>
        <w:tc>
          <w:tcPr>
            <w:tcW w:w="3380"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b/>
                <w:bCs/>
                <w:color w:val="000000"/>
                <w:sz w:val="20"/>
                <w:szCs w:val="20"/>
              </w:rPr>
            </w:pPr>
          </w:p>
          <w:p w:rsidR="008F715D" w:rsidRPr="000634CD" w:rsidRDefault="008F715D" w:rsidP="002105A0">
            <w:pPr>
              <w:jc w:val="both"/>
              <w:rPr>
                <w:b/>
                <w:bCs/>
                <w:color w:val="000000"/>
                <w:sz w:val="20"/>
                <w:szCs w:val="20"/>
              </w:rPr>
            </w:pPr>
            <w:r w:rsidRPr="000634CD">
              <w:rPr>
                <w:b/>
                <w:bCs/>
                <w:color w:val="000000"/>
                <w:sz w:val="20"/>
                <w:szCs w:val="20"/>
              </w:rPr>
              <w:t>TOTAL DES DEPOTS</w:t>
            </w:r>
          </w:p>
        </w:tc>
        <w:tc>
          <w:tcPr>
            <w:tcW w:w="1360"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b/>
                <w:color w:val="000000"/>
                <w:sz w:val="20"/>
                <w:szCs w:val="20"/>
              </w:rPr>
            </w:pPr>
            <w:r w:rsidRPr="000634CD">
              <w:rPr>
                <w:b/>
                <w:color w:val="000000"/>
                <w:sz w:val="20"/>
                <w:szCs w:val="20"/>
              </w:rPr>
              <w:t>2 117 460</w:t>
            </w:r>
          </w:p>
        </w:tc>
        <w:tc>
          <w:tcPr>
            <w:tcW w:w="1383" w:type="dxa"/>
            <w:tcBorders>
              <w:top w:val="nil"/>
              <w:left w:val="nil"/>
              <w:bottom w:val="single" w:sz="12" w:space="0" w:color="0070C0"/>
              <w:right w:val="nil"/>
            </w:tcBorders>
            <w:vAlign w:val="center"/>
            <w:hideMark/>
          </w:tcPr>
          <w:p w:rsidR="008F715D" w:rsidRPr="000634CD" w:rsidRDefault="008F715D" w:rsidP="002105A0">
            <w:pPr>
              <w:jc w:val="center"/>
              <w:rPr>
                <w:b/>
                <w:color w:val="000000"/>
                <w:sz w:val="20"/>
                <w:szCs w:val="20"/>
              </w:rPr>
            </w:pPr>
          </w:p>
          <w:p w:rsidR="008F715D" w:rsidRPr="000634CD" w:rsidRDefault="008F715D" w:rsidP="002105A0">
            <w:pPr>
              <w:jc w:val="center"/>
              <w:rPr>
                <w:b/>
                <w:color w:val="000000"/>
                <w:sz w:val="20"/>
                <w:szCs w:val="20"/>
              </w:rPr>
            </w:pPr>
            <w:r w:rsidRPr="000634CD">
              <w:rPr>
                <w:b/>
                <w:color w:val="000000"/>
                <w:sz w:val="20"/>
                <w:szCs w:val="20"/>
              </w:rPr>
              <w:t>2 089 298</w:t>
            </w:r>
          </w:p>
        </w:tc>
        <w:tc>
          <w:tcPr>
            <w:tcW w:w="21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b/>
                <w:color w:val="000000"/>
                <w:sz w:val="20"/>
                <w:szCs w:val="20"/>
              </w:rPr>
            </w:pPr>
          </w:p>
        </w:tc>
        <w:tc>
          <w:tcPr>
            <w:tcW w:w="1256" w:type="dxa"/>
            <w:tcBorders>
              <w:top w:val="nil"/>
              <w:left w:val="nil"/>
              <w:bottom w:val="single" w:sz="12" w:space="0" w:color="0070C0"/>
              <w:right w:val="nil"/>
            </w:tcBorders>
            <w:vAlign w:val="bottom"/>
            <w:hideMark/>
          </w:tcPr>
          <w:p w:rsidR="008F715D" w:rsidRPr="000634CD" w:rsidRDefault="008F715D" w:rsidP="002105A0">
            <w:pPr>
              <w:jc w:val="center"/>
              <w:rPr>
                <w:b/>
                <w:color w:val="000000"/>
                <w:sz w:val="20"/>
                <w:szCs w:val="20"/>
              </w:rPr>
            </w:pPr>
            <w:r w:rsidRPr="000634CD">
              <w:rPr>
                <w:b/>
                <w:color w:val="000000"/>
                <w:sz w:val="20"/>
                <w:szCs w:val="20"/>
              </w:rPr>
              <w:t>2 143 211</w:t>
            </w:r>
          </w:p>
        </w:tc>
        <w:tc>
          <w:tcPr>
            <w:tcW w:w="37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sz w:val="20"/>
                <w:szCs w:val="20"/>
              </w:rPr>
            </w:pPr>
          </w:p>
        </w:tc>
        <w:tc>
          <w:tcPr>
            <w:tcW w:w="1327" w:type="dxa"/>
            <w:tcBorders>
              <w:top w:val="nil"/>
              <w:left w:val="nil"/>
              <w:bottom w:val="single" w:sz="12" w:space="0" w:color="0070C0"/>
              <w:right w:val="nil"/>
            </w:tcBorders>
            <w:vAlign w:val="bottom"/>
            <w:hideMark/>
          </w:tcPr>
          <w:p w:rsidR="008F715D" w:rsidRPr="000634CD" w:rsidRDefault="008F715D" w:rsidP="002105A0">
            <w:pPr>
              <w:jc w:val="center"/>
              <w:rPr>
                <w:b/>
                <w:color w:val="000000"/>
                <w:sz w:val="20"/>
                <w:szCs w:val="20"/>
              </w:rPr>
            </w:pPr>
            <w:r w:rsidRPr="000634CD">
              <w:rPr>
                <w:b/>
                <w:color w:val="000000"/>
                <w:sz w:val="20"/>
                <w:szCs w:val="20"/>
              </w:rPr>
              <w:t>2,6%</w:t>
            </w:r>
          </w:p>
        </w:tc>
        <w:tc>
          <w:tcPr>
            <w:tcW w:w="219" w:type="dxa"/>
            <w:tcBorders>
              <w:top w:val="nil"/>
              <w:left w:val="nil"/>
              <w:bottom w:val="single" w:sz="12" w:space="0" w:color="0070C0"/>
              <w:right w:val="single" w:sz="12" w:space="0" w:color="0070C0"/>
            </w:tcBorders>
          </w:tcPr>
          <w:p w:rsidR="008F715D" w:rsidRPr="000634CD" w:rsidRDefault="008F715D" w:rsidP="002105A0">
            <w:pPr>
              <w:jc w:val="both"/>
              <w:rPr>
                <w:b/>
                <w:bCs/>
                <w:color w:val="000000"/>
                <w:sz w:val="20"/>
                <w:szCs w:val="20"/>
              </w:rPr>
            </w:pPr>
          </w:p>
        </w:tc>
      </w:tr>
    </w:tbl>
    <w:p w:rsidR="008F715D" w:rsidRPr="005D514F" w:rsidRDefault="008F715D" w:rsidP="008F715D">
      <w:pPr>
        <w:spacing w:after="240"/>
        <w:jc w:val="both"/>
        <w:rPr>
          <w:i/>
          <w:sz w:val="20"/>
          <w:szCs w:val="20"/>
        </w:rPr>
      </w:pPr>
      <w:r w:rsidRPr="005D514F">
        <w:rPr>
          <w:sz w:val="20"/>
          <w:szCs w:val="20"/>
        </w:rPr>
        <w:t xml:space="preserve">Sources : </w:t>
      </w:r>
      <w:r w:rsidRPr="005D514F">
        <w:rPr>
          <w:i/>
          <w:sz w:val="20"/>
          <w:szCs w:val="20"/>
        </w:rPr>
        <w:t>Banques / DGEPF</w:t>
      </w:r>
    </w:p>
    <w:p w:rsidR="008F715D" w:rsidRPr="00A52E27" w:rsidRDefault="008F715D" w:rsidP="008F715D">
      <w:pPr>
        <w:pStyle w:val="Titre3"/>
        <w:ind w:firstLine="0"/>
        <w:rPr>
          <w:b/>
          <w:bCs/>
          <w:i/>
          <w:iCs/>
          <w:color w:val="0000FF"/>
          <w:sz w:val="24"/>
        </w:rPr>
      </w:pPr>
      <w:bookmarkStart w:id="243" w:name="_Toc462990850"/>
      <w:r>
        <w:rPr>
          <w:b/>
          <w:bCs/>
          <w:i/>
          <w:iCs/>
          <w:color w:val="0000FF"/>
          <w:sz w:val="24"/>
        </w:rPr>
        <w:t>II.18</w:t>
      </w:r>
      <w:r w:rsidRPr="00A52E27">
        <w:rPr>
          <w:b/>
          <w:bCs/>
          <w:i/>
          <w:iCs/>
          <w:color w:val="0000FF"/>
          <w:sz w:val="24"/>
        </w:rPr>
        <w:t>.1.2 Les crédits distribués</w:t>
      </w:r>
      <w:bookmarkEnd w:id="243"/>
    </w:p>
    <w:p w:rsidR="008F715D" w:rsidRPr="00A52E27" w:rsidRDefault="008F715D" w:rsidP="008F715D"/>
    <w:p w:rsidR="008F715D" w:rsidRPr="00A52E27" w:rsidRDefault="008F715D" w:rsidP="008F715D">
      <w:pPr>
        <w:spacing w:line="276" w:lineRule="auto"/>
        <w:rPr>
          <w:sz w:val="4"/>
        </w:rPr>
      </w:pPr>
    </w:p>
    <w:p w:rsidR="008F715D" w:rsidRPr="000634CD" w:rsidRDefault="008F715D" w:rsidP="008F715D">
      <w:pPr>
        <w:spacing w:line="276" w:lineRule="auto"/>
        <w:jc w:val="both"/>
        <w:rPr>
          <w:rFonts w:asciiTheme="majorBidi" w:hAnsiTheme="majorBidi" w:cstheme="majorBidi"/>
        </w:rPr>
      </w:pPr>
      <w:r w:rsidRPr="000634CD">
        <w:rPr>
          <w:rFonts w:asciiTheme="majorBidi" w:hAnsiTheme="majorBidi" w:cstheme="majorBidi"/>
        </w:rPr>
        <w:t xml:space="preserve">Au deuxième trimestre 2016, les crédits bruts distribués se sont raffermis de 6% à 1 788 milliards de FCFA contre 1 687 milliards de FCFA un an auparavant. </w:t>
      </w:r>
    </w:p>
    <w:p w:rsidR="008F715D" w:rsidRPr="002205E6" w:rsidRDefault="008F715D" w:rsidP="008F715D">
      <w:pPr>
        <w:spacing w:line="276" w:lineRule="auto"/>
        <w:jc w:val="both"/>
        <w:rPr>
          <w:rFonts w:asciiTheme="majorBidi" w:hAnsiTheme="majorBidi" w:cstheme="majorBidi"/>
        </w:rPr>
      </w:pPr>
      <w:r w:rsidRPr="002205E6">
        <w:rPr>
          <w:rFonts w:asciiTheme="majorBidi" w:hAnsiTheme="majorBidi" w:cstheme="majorBidi"/>
        </w:rPr>
        <w:t>Les crédits octroyés au secteur privé se sont repliés de 1,6% à 1 138 milliards de FCFA en juin 2016. Ils ont représenté 63,6% du total des crédits en juin 2016 contre 68,5% en juin 2015. De même, les crédits consentis aux entreprises publiques représentant 2,5% de l’ensemble des crédits bruts se sont contractés de 9,7% à 45,6 milliards de FCFA en juin 2016.</w:t>
      </w:r>
    </w:p>
    <w:p w:rsidR="008F715D" w:rsidRDefault="008F715D" w:rsidP="008F715D">
      <w:pPr>
        <w:spacing w:line="276" w:lineRule="auto"/>
        <w:jc w:val="both"/>
        <w:rPr>
          <w:rFonts w:asciiTheme="majorBidi" w:hAnsiTheme="majorBidi" w:cstheme="majorBidi"/>
        </w:rPr>
      </w:pPr>
      <w:r w:rsidRPr="002205E6">
        <w:rPr>
          <w:rFonts w:asciiTheme="majorBidi" w:hAnsiTheme="majorBidi" w:cstheme="majorBidi"/>
        </w:rPr>
        <w:t>Les crédits aux administrations publiques quant à eux, se sont confortés de 27,5% à 520 milliards de FCFA à fin juin 2016. Ceux-ci ont représenté 29,1% de l’ensemble des crédits bruts distribués.</w:t>
      </w:r>
    </w:p>
    <w:p w:rsidR="008F715D" w:rsidRDefault="008F715D" w:rsidP="008F715D">
      <w:pPr>
        <w:spacing w:line="276" w:lineRule="auto"/>
        <w:jc w:val="both"/>
        <w:rPr>
          <w:rFonts w:asciiTheme="majorBidi" w:hAnsiTheme="majorBidi" w:cstheme="majorBidi"/>
        </w:rPr>
      </w:pPr>
    </w:p>
    <w:p w:rsidR="008F715D" w:rsidRPr="000634CD" w:rsidRDefault="008F715D" w:rsidP="008F715D">
      <w:pPr>
        <w:rPr>
          <w:rFonts w:asciiTheme="majorBidi" w:hAnsiTheme="majorBidi" w:cstheme="majorBidi"/>
          <w:b/>
          <w:bCs/>
          <w:i/>
          <w:sz w:val="22"/>
          <w:szCs w:val="22"/>
        </w:rPr>
      </w:pPr>
      <w:r w:rsidRPr="000634CD">
        <w:rPr>
          <w:rFonts w:asciiTheme="majorBidi" w:hAnsiTheme="majorBidi" w:cstheme="majorBidi"/>
          <w:b/>
          <w:bCs/>
          <w:i/>
          <w:sz w:val="22"/>
          <w:szCs w:val="22"/>
        </w:rPr>
        <w:t>Evolution des crédits bruts par type de bénéficiaires (en millions de FCFA)</w:t>
      </w:r>
    </w:p>
    <w:tbl>
      <w:tblPr>
        <w:tblW w:w="9371" w:type="dxa"/>
        <w:jc w:val="center"/>
        <w:tblCellMar>
          <w:left w:w="70" w:type="dxa"/>
          <w:right w:w="70" w:type="dxa"/>
        </w:tblCellMar>
        <w:tblLook w:val="04A0"/>
      </w:tblPr>
      <w:tblGrid>
        <w:gridCol w:w="3411"/>
        <w:gridCol w:w="1329"/>
        <w:gridCol w:w="1432"/>
        <w:gridCol w:w="214"/>
        <w:gridCol w:w="1411"/>
        <w:gridCol w:w="160"/>
        <w:gridCol w:w="1167"/>
        <w:gridCol w:w="247"/>
      </w:tblGrid>
      <w:tr w:rsidR="008F715D" w:rsidRPr="000634CD" w:rsidTr="002105A0">
        <w:trPr>
          <w:trHeight w:val="345"/>
          <w:jc w:val="center"/>
        </w:trPr>
        <w:tc>
          <w:tcPr>
            <w:tcW w:w="3411" w:type="dxa"/>
            <w:tcBorders>
              <w:top w:val="single" w:sz="12" w:space="0" w:color="0070C0"/>
              <w:left w:val="single" w:sz="12" w:space="0" w:color="0070C0"/>
              <w:bottom w:val="single" w:sz="12" w:space="0" w:color="0070C0"/>
              <w:right w:val="single" w:sz="12" w:space="0" w:color="0070C0"/>
            </w:tcBorders>
            <w:shd w:val="clear" w:color="auto" w:fill="auto"/>
            <w:noWrap/>
            <w:vAlign w:val="center"/>
            <w:hideMark/>
          </w:tcPr>
          <w:p w:rsidR="008F715D" w:rsidRPr="000634CD" w:rsidRDefault="008F715D" w:rsidP="002105A0">
            <w:pPr>
              <w:jc w:val="both"/>
              <w:rPr>
                <w:b/>
                <w:bCs/>
                <w:color w:val="000000"/>
                <w:sz w:val="20"/>
                <w:szCs w:val="20"/>
              </w:rPr>
            </w:pPr>
            <w:r w:rsidRPr="000634CD">
              <w:rPr>
                <w:b/>
                <w:bCs/>
                <w:color w:val="000000"/>
                <w:sz w:val="20"/>
                <w:szCs w:val="20"/>
              </w:rPr>
              <w:t>Crédits distribués</w:t>
            </w:r>
          </w:p>
        </w:tc>
        <w:tc>
          <w:tcPr>
            <w:tcW w:w="1329" w:type="dxa"/>
            <w:tcBorders>
              <w:top w:val="single" w:sz="12" w:space="0" w:color="0070C0"/>
              <w:left w:val="nil"/>
              <w:bottom w:val="single" w:sz="12" w:space="0" w:color="0070C0"/>
              <w:right w:val="single" w:sz="12" w:space="0" w:color="0070C0"/>
            </w:tcBorders>
            <w:shd w:val="clear" w:color="auto" w:fill="auto"/>
            <w:noWrap/>
            <w:vAlign w:val="center"/>
            <w:hideMark/>
          </w:tcPr>
          <w:p w:rsidR="008F715D" w:rsidRPr="000634CD" w:rsidRDefault="008F715D" w:rsidP="002105A0">
            <w:pPr>
              <w:jc w:val="center"/>
              <w:rPr>
                <w:b/>
                <w:bCs/>
                <w:color w:val="000000"/>
                <w:sz w:val="20"/>
                <w:szCs w:val="20"/>
              </w:rPr>
            </w:pPr>
            <w:r>
              <w:rPr>
                <w:b/>
                <w:bCs/>
                <w:color w:val="000000"/>
                <w:sz w:val="20"/>
                <w:szCs w:val="20"/>
              </w:rPr>
              <w:t xml:space="preserve">Juin </w:t>
            </w:r>
            <w:r w:rsidRPr="000634CD">
              <w:rPr>
                <w:b/>
                <w:bCs/>
                <w:color w:val="000000"/>
                <w:sz w:val="20"/>
                <w:szCs w:val="20"/>
              </w:rPr>
              <w:t>2014</w:t>
            </w:r>
          </w:p>
        </w:tc>
        <w:tc>
          <w:tcPr>
            <w:tcW w:w="1432" w:type="dxa"/>
            <w:tcBorders>
              <w:top w:val="single" w:sz="12" w:space="0" w:color="0070C0"/>
              <w:left w:val="nil"/>
              <w:bottom w:val="single" w:sz="12" w:space="0" w:color="0070C0"/>
              <w:right w:val="nil"/>
            </w:tcBorders>
            <w:shd w:val="clear" w:color="auto" w:fill="auto"/>
            <w:vAlign w:val="bottom"/>
            <w:hideMark/>
          </w:tcPr>
          <w:p w:rsidR="008F715D" w:rsidRPr="000634CD" w:rsidRDefault="008F715D" w:rsidP="002105A0">
            <w:pPr>
              <w:jc w:val="center"/>
              <w:rPr>
                <w:b/>
                <w:bCs/>
                <w:color w:val="000000"/>
                <w:sz w:val="20"/>
                <w:szCs w:val="20"/>
              </w:rPr>
            </w:pPr>
            <w:r>
              <w:rPr>
                <w:b/>
                <w:bCs/>
                <w:color w:val="000000"/>
                <w:sz w:val="20"/>
                <w:szCs w:val="20"/>
              </w:rPr>
              <w:t xml:space="preserve">Juin </w:t>
            </w:r>
            <w:r w:rsidRPr="000634CD">
              <w:rPr>
                <w:b/>
                <w:bCs/>
                <w:color w:val="000000"/>
                <w:sz w:val="20"/>
                <w:szCs w:val="20"/>
              </w:rPr>
              <w:t>2015</w:t>
            </w:r>
          </w:p>
        </w:tc>
        <w:tc>
          <w:tcPr>
            <w:tcW w:w="214" w:type="dxa"/>
            <w:tcBorders>
              <w:top w:val="single" w:sz="12" w:space="0" w:color="0070C0"/>
              <w:left w:val="nil"/>
              <w:bottom w:val="single" w:sz="12" w:space="0" w:color="0070C0"/>
              <w:right w:val="single" w:sz="12" w:space="0" w:color="0070C0"/>
            </w:tcBorders>
            <w:shd w:val="clear" w:color="auto" w:fill="auto"/>
            <w:noWrap/>
            <w:vAlign w:val="center"/>
            <w:hideMark/>
          </w:tcPr>
          <w:p w:rsidR="008F715D" w:rsidRPr="000634CD" w:rsidRDefault="008F715D" w:rsidP="002105A0">
            <w:pPr>
              <w:jc w:val="center"/>
              <w:rPr>
                <w:sz w:val="20"/>
                <w:szCs w:val="20"/>
              </w:rPr>
            </w:pPr>
          </w:p>
        </w:tc>
        <w:tc>
          <w:tcPr>
            <w:tcW w:w="1411" w:type="dxa"/>
            <w:tcBorders>
              <w:top w:val="single" w:sz="12" w:space="0" w:color="0070C0"/>
              <w:left w:val="nil"/>
              <w:bottom w:val="single" w:sz="12" w:space="0" w:color="0070C0"/>
              <w:right w:val="nil"/>
            </w:tcBorders>
            <w:shd w:val="clear" w:color="auto" w:fill="auto"/>
            <w:vAlign w:val="bottom"/>
            <w:hideMark/>
          </w:tcPr>
          <w:p w:rsidR="008F715D" w:rsidRPr="000634CD" w:rsidRDefault="008F715D" w:rsidP="002105A0">
            <w:pPr>
              <w:rPr>
                <w:b/>
                <w:bCs/>
                <w:color w:val="000000"/>
                <w:sz w:val="20"/>
                <w:szCs w:val="20"/>
              </w:rPr>
            </w:pPr>
            <w:r>
              <w:rPr>
                <w:sz w:val="20"/>
                <w:szCs w:val="20"/>
              </w:rPr>
              <w:t xml:space="preserve">Juin </w:t>
            </w:r>
            <w:r w:rsidRPr="000634CD">
              <w:rPr>
                <w:b/>
                <w:bCs/>
                <w:color w:val="000000"/>
                <w:sz w:val="20"/>
                <w:szCs w:val="20"/>
              </w:rPr>
              <w:t>2016</w:t>
            </w:r>
          </w:p>
        </w:tc>
        <w:tc>
          <w:tcPr>
            <w:tcW w:w="160" w:type="dxa"/>
            <w:tcBorders>
              <w:top w:val="single" w:sz="12" w:space="0" w:color="0070C0"/>
              <w:left w:val="nil"/>
              <w:bottom w:val="single" w:sz="12" w:space="0" w:color="0070C0"/>
              <w:right w:val="single" w:sz="12" w:space="0" w:color="0070C0"/>
            </w:tcBorders>
            <w:shd w:val="clear" w:color="auto" w:fill="auto"/>
            <w:noWrap/>
            <w:vAlign w:val="center"/>
            <w:hideMark/>
          </w:tcPr>
          <w:p w:rsidR="008F715D" w:rsidRPr="000634CD" w:rsidRDefault="008F715D" w:rsidP="002105A0">
            <w:pPr>
              <w:jc w:val="center"/>
              <w:rPr>
                <w:sz w:val="20"/>
                <w:szCs w:val="20"/>
              </w:rPr>
            </w:pPr>
          </w:p>
        </w:tc>
        <w:tc>
          <w:tcPr>
            <w:tcW w:w="1167" w:type="dxa"/>
            <w:tcBorders>
              <w:top w:val="single" w:sz="12" w:space="0" w:color="0070C0"/>
              <w:left w:val="nil"/>
              <w:bottom w:val="single" w:sz="12" w:space="0" w:color="0070C0"/>
              <w:right w:val="nil"/>
            </w:tcBorders>
            <w:shd w:val="clear" w:color="auto" w:fill="auto"/>
            <w:vAlign w:val="bottom"/>
            <w:hideMark/>
          </w:tcPr>
          <w:p w:rsidR="008F715D" w:rsidRPr="000634CD" w:rsidRDefault="008F715D" w:rsidP="002105A0">
            <w:pPr>
              <w:jc w:val="center"/>
              <w:rPr>
                <w:b/>
                <w:bCs/>
                <w:color w:val="000000"/>
                <w:sz w:val="20"/>
                <w:szCs w:val="20"/>
              </w:rPr>
            </w:pPr>
            <w:r w:rsidRPr="000634CD">
              <w:rPr>
                <w:b/>
                <w:bCs/>
                <w:color w:val="000000"/>
                <w:sz w:val="20"/>
                <w:szCs w:val="20"/>
              </w:rPr>
              <w:t>2016/2015</w:t>
            </w:r>
          </w:p>
        </w:tc>
        <w:tc>
          <w:tcPr>
            <w:tcW w:w="247" w:type="dxa"/>
            <w:tcBorders>
              <w:top w:val="single" w:sz="12" w:space="0" w:color="0070C0"/>
              <w:left w:val="nil"/>
              <w:bottom w:val="single" w:sz="12" w:space="0" w:color="0070C0"/>
              <w:right w:val="single" w:sz="12" w:space="0" w:color="0070C0"/>
            </w:tcBorders>
            <w:shd w:val="clear" w:color="auto" w:fill="auto"/>
          </w:tcPr>
          <w:p w:rsidR="008F715D" w:rsidRPr="000634CD" w:rsidRDefault="008F715D" w:rsidP="002105A0">
            <w:pPr>
              <w:jc w:val="both"/>
              <w:rPr>
                <w:b/>
                <w:bCs/>
                <w:color w:val="000000"/>
                <w:sz w:val="20"/>
                <w:szCs w:val="20"/>
              </w:rPr>
            </w:pPr>
          </w:p>
        </w:tc>
      </w:tr>
      <w:tr w:rsidR="008F715D" w:rsidRPr="000634CD" w:rsidTr="002105A0">
        <w:trPr>
          <w:trHeight w:val="345"/>
          <w:jc w:val="center"/>
        </w:trPr>
        <w:tc>
          <w:tcPr>
            <w:tcW w:w="3411"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Crédits à l'Etat</w:t>
            </w:r>
          </w:p>
        </w:tc>
        <w:tc>
          <w:tcPr>
            <w:tcW w:w="132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323 426</w:t>
            </w:r>
          </w:p>
        </w:tc>
        <w:tc>
          <w:tcPr>
            <w:tcW w:w="1432"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407 869</w:t>
            </w:r>
          </w:p>
        </w:tc>
        <w:tc>
          <w:tcPr>
            <w:tcW w:w="21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color w:val="000000"/>
                <w:sz w:val="20"/>
                <w:szCs w:val="20"/>
              </w:rPr>
            </w:pPr>
          </w:p>
        </w:tc>
        <w:tc>
          <w:tcPr>
            <w:tcW w:w="1411"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519 931</w:t>
            </w:r>
          </w:p>
        </w:tc>
        <w:tc>
          <w:tcPr>
            <w:tcW w:w="160"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sz w:val="20"/>
                <w:szCs w:val="20"/>
              </w:rPr>
            </w:pPr>
          </w:p>
        </w:tc>
        <w:tc>
          <w:tcPr>
            <w:tcW w:w="1167"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27,5%</w:t>
            </w:r>
          </w:p>
        </w:tc>
        <w:tc>
          <w:tcPr>
            <w:tcW w:w="247" w:type="dxa"/>
            <w:tcBorders>
              <w:top w:val="nil"/>
              <w:left w:val="nil"/>
              <w:bottom w:val="single" w:sz="12" w:space="0" w:color="0070C0"/>
              <w:right w:val="single" w:sz="12" w:space="0" w:color="0070C0"/>
            </w:tcBorders>
          </w:tcPr>
          <w:p w:rsidR="008F715D" w:rsidRPr="000634CD" w:rsidRDefault="008F715D" w:rsidP="002105A0">
            <w:pPr>
              <w:jc w:val="both"/>
              <w:rPr>
                <w:color w:val="000000"/>
                <w:sz w:val="20"/>
                <w:szCs w:val="20"/>
              </w:rPr>
            </w:pPr>
          </w:p>
        </w:tc>
      </w:tr>
      <w:tr w:rsidR="008F715D" w:rsidRPr="000634CD" w:rsidTr="002105A0">
        <w:trPr>
          <w:trHeight w:val="345"/>
          <w:jc w:val="center"/>
        </w:trPr>
        <w:tc>
          <w:tcPr>
            <w:tcW w:w="3411"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crédits aux entreprises publiques</w:t>
            </w:r>
          </w:p>
        </w:tc>
        <w:tc>
          <w:tcPr>
            <w:tcW w:w="132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114 284</w:t>
            </w:r>
          </w:p>
        </w:tc>
        <w:tc>
          <w:tcPr>
            <w:tcW w:w="1432"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50 447</w:t>
            </w:r>
          </w:p>
        </w:tc>
        <w:tc>
          <w:tcPr>
            <w:tcW w:w="21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color w:val="000000"/>
                <w:sz w:val="20"/>
                <w:szCs w:val="20"/>
              </w:rPr>
            </w:pPr>
          </w:p>
        </w:tc>
        <w:tc>
          <w:tcPr>
            <w:tcW w:w="1411"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45 557</w:t>
            </w:r>
          </w:p>
        </w:tc>
        <w:tc>
          <w:tcPr>
            <w:tcW w:w="160"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sz w:val="20"/>
                <w:szCs w:val="20"/>
              </w:rPr>
            </w:pPr>
          </w:p>
        </w:tc>
        <w:tc>
          <w:tcPr>
            <w:tcW w:w="1167" w:type="dxa"/>
            <w:tcBorders>
              <w:top w:val="nil"/>
              <w:left w:val="nil"/>
              <w:bottom w:val="single" w:sz="12" w:space="0" w:color="0070C0"/>
              <w:right w:val="nil"/>
            </w:tcBorders>
            <w:vAlign w:val="bottom"/>
            <w:hideMark/>
          </w:tcPr>
          <w:p w:rsidR="008F715D" w:rsidRPr="000634CD" w:rsidRDefault="008F715D" w:rsidP="002105A0">
            <w:pPr>
              <w:jc w:val="center"/>
              <w:rPr>
                <w:color w:val="FF0000"/>
                <w:sz w:val="20"/>
                <w:szCs w:val="20"/>
              </w:rPr>
            </w:pPr>
            <w:r w:rsidRPr="000634CD">
              <w:rPr>
                <w:color w:val="FF0000"/>
                <w:sz w:val="20"/>
                <w:szCs w:val="20"/>
              </w:rPr>
              <w:t>-9,7%</w:t>
            </w:r>
          </w:p>
        </w:tc>
        <w:tc>
          <w:tcPr>
            <w:tcW w:w="247" w:type="dxa"/>
            <w:tcBorders>
              <w:top w:val="nil"/>
              <w:left w:val="nil"/>
              <w:bottom w:val="single" w:sz="12" w:space="0" w:color="0070C0"/>
              <w:right w:val="single" w:sz="12" w:space="0" w:color="0070C0"/>
            </w:tcBorders>
          </w:tcPr>
          <w:p w:rsidR="008F715D" w:rsidRPr="000634CD" w:rsidRDefault="008F715D" w:rsidP="002105A0">
            <w:pPr>
              <w:jc w:val="both"/>
              <w:rPr>
                <w:color w:val="000000"/>
                <w:sz w:val="20"/>
                <w:szCs w:val="20"/>
              </w:rPr>
            </w:pPr>
          </w:p>
        </w:tc>
      </w:tr>
      <w:tr w:rsidR="008F715D" w:rsidRPr="000634CD" w:rsidTr="002105A0">
        <w:trPr>
          <w:trHeight w:val="345"/>
          <w:jc w:val="center"/>
        </w:trPr>
        <w:tc>
          <w:tcPr>
            <w:tcW w:w="3411"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Crédits au secteur privé</w:t>
            </w:r>
          </w:p>
        </w:tc>
        <w:tc>
          <w:tcPr>
            <w:tcW w:w="132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1 256 082</w:t>
            </w:r>
          </w:p>
        </w:tc>
        <w:tc>
          <w:tcPr>
            <w:tcW w:w="1432"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1 155 890</w:t>
            </w:r>
          </w:p>
        </w:tc>
        <w:tc>
          <w:tcPr>
            <w:tcW w:w="21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color w:val="000000"/>
                <w:sz w:val="20"/>
                <w:szCs w:val="20"/>
              </w:rPr>
            </w:pPr>
          </w:p>
        </w:tc>
        <w:tc>
          <w:tcPr>
            <w:tcW w:w="1411"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1 137 843</w:t>
            </w:r>
          </w:p>
        </w:tc>
        <w:tc>
          <w:tcPr>
            <w:tcW w:w="160"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sz w:val="20"/>
                <w:szCs w:val="20"/>
              </w:rPr>
            </w:pPr>
          </w:p>
        </w:tc>
        <w:tc>
          <w:tcPr>
            <w:tcW w:w="1167" w:type="dxa"/>
            <w:tcBorders>
              <w:top w:val="nil"/>
              <w:left w:val="nil"/>
              <w:bottom w:val="single" w:sz="12" w:space="0" w:color="0070C0"/>
              <w:right w:val="nil"/>
            </w:tcBorders>
            <w:vAlign w:val="bottom"/>
            <w:hideMark/>
          </w:tcPr>
          <w:p w:rsidR="008F715D" w:rsidRPr="000634CD" w:rsidRDefault="008F715D" w:rsidP="002105A0">
            <w:pPr>
              <w:jc w:val="center"/>
              <w:rPr>
                <w:color w:val="FF0000"/>
                <w:sz w:val="20"/>
                <w:szCs w:val="20"/>
              </w:rPr>
            </w:pPr>
            <w:r w:rsidRPr="000634CD">
              <w:rPr>
                <w:color w:val="FF0000"/>
                <w:sz w:val="20"/>
                <w:szCs w:val="20"/>
              </w:rPr>
              <w:t>-1,6%</w:t>
            </w:r>
          </w:p>
        </w:tc>
        <w:tc>
          <w:tcPr>
            <w:tcW w:w="247" w:type="dxa"/>
            <w:tcBorders>
              <w:top w:val="nil"/>
              <w:left w:val="nil"/>
              <w:bottom w:val="single" w:sz="12" w:space="0" w:color="0070C0"/>
              <w:right w:val="single" w:sz="12" w:space="0" w:color="0070C0"/>
            </w:tcBorders>
          </w:tcPr>
          <w:p w:rsidR="008F715D" w:rsidRPr="000634CD" w:rsidRDefault="008F715D" w:rsidP="002105A0">
            <w:pPr>
              <w:jc w:val="both"/>
              <w:rPr>
                <w:color w:val="000000"/>
                <w:sz w:val="20"/>
                <w:szCs w:val="20"/>
              </w:rPr>
            </w:pPr>
          </w:p>
        </w:tc>
      </w:tr>
      <w:tr w:rsidR="008F715D" w:rsidRPr="000634CD" w:rsidTr="002105A0">
        <w:trPr>
          <w:trHeight w:val="345"/>
          <w:jc w:val="center"/>
        </w:trPr>
        <w:tc>
          <w:tcPr>
            <w:tcW w:w="3411"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Crédits aux non résidents</w:t>
            </w:r>
          </w:p>
        </w:tc>
        <w:tc>
          <w:tcPr>
            <w:tcW w:w="132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60 791</w:t>
            </w:r>
          </w:p>
        </w:tc>
        <w:tc>
          <w:tcPr>
            <w:tcW w:w="1432"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58 682</w:t>
            </w:r>
          </w:p>
        </w:tc>
        <w:tc>
          <w:tcPr>
            <w:tcW w:w="21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color w:val="000000"/>
                <w:sz w:val="20"/>
                <w:szCs w:val="20"/>
              </w:rPr>
            </w:pPr>
          </w:p>
        </w:tc>
        <w:tc>
          <w:tcPr>
            <w:tcW w:w="1411"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60 512</w:t>
            </w:r>
          </w:p>
        </w:tc>
        <w:tc>
          <w:tcPr>
            <w:tcW w:w="160"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sz w:val="20"/>
                <w:szCs w:val="20"/>
              </w:rPr>
            </w:pPr>
          </w:p>
        </w:tc>
        <w:tc>
          <w:tcPr>
            <w:tcW w:w="1167"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3,1%</w:t>
            </w:r>
          </w:p>
        </w:tc>
        <w:tc>
          <w:tcPr>
            <w:tcW w:w="247" w:type="dxa"/>
            <w:tcBorders>
              <w:top w:val="nil"/>
              <w:left w:val="nil"/>
              <w:bottom w:val="single" w:sz="12" w:space="0" w:color="0070C0"/>
              <w:right w:val="single" w:sz="12" w:space="0" w:color="0070C0"/>
            </w:tcBorders>
          </w:tcPr>
          <w:p w:rsidR="008F715D" w:rsidRPr="000634CD" w:rsidRDefault="008F715D" w:rsidP="002105A0">
            <w:pPr>
              <w:jc w:val="both"/>
              <w:rPr>
                <w:color w:val="000000"/>
                <w:sz w:val="20"/>
                <w:szCs w:val="20"/>
              </w:rPr>
            </w:pPr>
          </w:p>
        </w:tc>
      </w:tr>
      <w:tr w:rsidR="008F715D" w:rsidRPr="000634CD" w:rsidTr="002105A0">
        <w:trPr>
          <w:trHeight w:val="345"/>
          <w:jc w:val="center"/>
        </w:trPr>
        <w:tc>
          <w:tcPr>
            <w:tcW w:w="3411"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color w:val="000000"/>
                <w:sz w:val="20"/>
                <w:szCs w:val="20"/>
              </w:rPr>
            </w:pPr>
            <w:r w:rsidRPr="000634CD">
              <w:rPr>
                <w:color w:val="000000"/>
                <w:sz w:val="20"/>
                <w:szCs w:val="20"/>
              </w:rPr>
              <w:t>Autres créances</w:t>
            </w:r>
          </w:p>
        </w:tc>
        <w:tc>
          <w:tcPr>
            <w:tcW w:w="1329" w:type="dxa"/>
            <w:tcBorders>
              <w:top w:val="nil"/>
              <w:left w:val="nil"/>
              <w:bottom w:val="single" w:sz="12" w:space="0" w:color="0070C0"/>
              <w:right w:val="single" w:sz="12" w:space="0" w:color="0070C0"/>
            </w:tcBorders>
            <w:noWrap/>
            <w:vAlign w:val="bottom"/>
            <w:hideMark/>
          </w:tcPr>
          <w:p w:rsidR="008F715D" w:rsidRPr="000634CD" w:rsidRDefault="008F715D" w:rsidP="002105A0">
            <w:pPr>
              <w:jc w:val="center"/>
              <w:rPr>
                <w:color w:val="000000"/>
                <w:sz w:val="20"/>
                <w:szCs w:val="20"/>
              </w:rPr>
            </w:pPr>
            <w:r w:rsidRPr="000634CD">
              <w:rPr>
                <w:color w:val="000000"/>
                <w:sz w:val="20"/>
                <w:szCs w:val="20"/>
              </w:rPr>
              <w:t>35 993</w:t>
            </w:r>
          </w:p>
        </w:tc>
        <w:tc>
          <w:tcPr>
            <w:tcW w:w="1432"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14 391</w:t>
            </w:r>
          </w:p>
        </w:tc>
        <w:tc>
          <w:tcPr>
            <w:tcW w:w="21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color w:val="000000"/>
                <w:sz w:val="20"/>
                <w:szCs w:val="20"/>
              </w:rPr>
            </w:pPr>
          </w:p>
        </w:tc>
        <w:tc>
          <w:tcPr>
            <w:tcW w:w="1411"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21 750</w:t>
            </w:r>
          </w:p>
        </w:tc>
        <w:tc>
          <w:tcPr>
            <w:tcW w:w="160"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sz w:val="20"/>
                <w:szCs w:val="20"/>
              </w:rPr>
            </w:pPr>
          </w:p>
        </w:tc>
        <w:tc>
          <w:tcPr>
            <w:tcW w:w="1167" w:type="dxa"/>
            <w:tcBorders>
              <w:top w:val="nil"/>
              <w:left w:val="nil"/>
              <w:bottom w:val="single" w:sz="12" w:space="0" w:color="0070C0"/>
              <w:right w:val="nil"/>
            </w:tcBorders>
            <w:vAlign w:val="bottom"/>
            <w:hideMark/>
          </w:tcPr>
          <w:p w:rsidR="008F715D" w:rsidRPr="000634CD" w:rsidRDefault="008F715D" w:rsidP="002105A0">
            <w:pPr>
              <w:jc w:val="center"/>
              <w:rPr>
                <w:color w:val="000000"/>
                <w:sz w:val="20"/>
                <w:szCs w:val="20"/>
              </w:rPr>
            </w:pPr>
            <w:r w:rsidRPr="000634CD">
              <w:rPr>
                <w:color w:val="000000"/>
                <w:sz w:val="20"/>
                <w:szCs w:val="20"/>
              </w:rPr>
              <w:t>51,1%</w:t>
            </w:r>
          </w:p>
        </w:tc>
        <w:tc>
          <w:tcPr>
            <w:tcW w:w="247" w:type="dxa"/>
            <w:tcBorders>
              <w:top w:val="nil"/>
              <w:left w:val="nil"/>
              <w:bottom w:val="single" w:sz="12" w:space="0" w:color="0070C0"/>
              <w:right w:val="single" w:sz="12" w:space="0" w:color="0070C0"/>
            </w:tcBorders>
          </w:tcPr>
          <w:p w:rsidR="008F715D" w:rsidRPr="000634CD" w:rsidRDefault="008F715D" w:rsidP="002105A0">
            <w:pPr>
              <w:jc w:val="both"/>
              <w:rPr>
                <w:color w:val="000000"/>
                <w:sz w:val="20"/>
                <w:szCs w:val="20"/>
              </w:rPr>
            </w:pPr>
          </w:p>
        </w:tc>
      </w:tr>
      <w:tr w:rsidR="008F715D" w:rsidRPr="000634CD" w:rsidTr="002105A0">
        <w:trPr>
          <w:trHeight w:val="345"/>
          <w:jc w:val="center"/>
        </w:trPr>
        <w:tc>
          <w:tcPr>
            <w:tcW w:w="3411" w:type="dxa"/>
            <w:tcBorders>
              <w:top w:val="nil"/>
              <w:left w:val="single" w:sz="12" w:space="0" w:color="0070C0"/>
              <w:bottom w:val="single" w:sz="12" w:space="0" w:color="0070C0"/>
              <w:right w:val="single" w:sz="12" w:space="0" w:color="0070C0"/>
            </w:tcBorders>
            <w:noWrap/>
            <w:vAlign w:val="center"/>
            <w:hideMark/>
          </w:tcPr>
          <w:p w:rsidR="008F715D" w:rsidRPr="000634CD" w:rsidRDefault="008F715D" w:rsidP="002105A0">
            <w:pPr>
              <w:jc w:val="both"/>
              <w:rPr>
                <w:b/>
                <w:bCs/>
                <w:color w:val="000000"/>
                <w:sz w:val="20"/>
                <w:szCs w:val="20"/>
              </w:rPr>
            </w:pPr>
            <w:r w:rsidRPr="000634CD">
              <w:rPr>
                <w:b/>
                <w:bCs/>
                <w:color w:val="000000"/>
                <w:sz w:val="20"/>
                <w:szCs w:val="20"/>
              </w:rPr>
              <w:t>TOTAL CREDITS BRUTS</w:t>
            </w:r>
          </w:p>
        </w:tc>
        <w:tc>
          <w:tcPr>
            <w:tcW w:w="1329"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b/>
                <w:color w:val="000000"/>
                <w:sz w:val="20"/>
                <w:szCs w:val="20"/>
              </w:rPr>
            </w:pPr>
            <w:r w:rsidRPr="000634CD">
              <w:rPr>
                <w:b/>
                <w:color w:val="000000"/>
                <w:sz w:val="20"/>
                <w:szCs w:val="20"/>
              </w:rPr>
              <w:t>1 790 573</w:t>
            </w:r>
          </w:p>
        </w:tc>
        <w:tc>
          <w:tcPr>
            <w:tcW w:w="1432" w:type="dxa"/>
            <w:tcBorders>
              <w:top w:val="nil"/>
              <w:left w:val="nil"/>
              <w:bottom w:val="single" w:sz="12" w:space="0" w:color="0070C0"/>
              <w:right w:val="nil"/>
            </w:tcBorders>
            <w:vAlign w:val="bottom"/>
            <w:hideMark/>
          </w:tcPr>
          <w:p w:rsidR="008F715D" w:rsidRPr="000634CD" w:rsidRDefault="008F715D" w:rsidP="002105A0">
            <w:pPr>
              <w:jc w:val="center"/>
              <w:rPr>
                <w:b/>
                <w:color w:val="000000"/>
                <w:sz w:val="20"/>
                <w:szCs w:val="20"/>
              </w:rPr>
            </w:pPr>
            <w:r w:rsidRPr="000634CD">
              <w:rPr>
                <w:b/>
                <w:color w:val="000000"/>
                <w:sz w:val="20"/>
                <w:szCs w:val="20"/>
              </w:rPr>
              <w:t>1 687 278</w:t>
            </w:r>
          </w:p>
        </w:tc>
        <w:tc>
          <w:tcPr>
            <w:tcW w:w="214"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b/>
                <w:color w:val="000000"/>
                <w:sz w:val="20"/>
                <w:szCs w:val="20"/>
              </w:rPr>
            </w:pPr>
          </w:p>
        </w:tc>
        <w:tc>
          <w:tcPr>
            <w:tcW w:w="1411" w:type="dxa"/>
            <w:tcBorders>
              <w:top w:val="nil"/>
              <w:left w:val="nil"/>
              <w:bottom w:val="single" w:sz="12" w:space="0" w:color="0070C0"/>
              <w:right w:val="nil"/>
            </w:tcBorders>
            <w:vAlign w:val="bottom"/>
            <w:hideMark/>
          </w:tcPr>
          <w:p w:rsidR="008F715D" w:rsidRPr="000634CD" w:rsidRDefault="008F715D" w:rsidP="002105A0">
            <w:pPr>
              <w:jc w:val="center"/>
              <w:rPr>
                <w:b/>
                <w:color w:val="000000"/>
                <w:sz w:val="20"/>
                <w:szCs w:val="20"/>
              </w:rPr>
            </w:pPr>
            <w:r w:rsidRPr="000634CD">
              <w:rPr>
                <w:b/>
                <w:color w:val="000000"/>
                <w:sz w:val="20"/>
                <w:szCs w:val="20"/>
              </w:rPr>
              <w:t>1 787 936</w:t>
            </w:r>
          </w:p>
        </w:tc>
        <w:tc>
          <w:tcPr>
            <w:tcW w:w="160" w:type="dxa"/>
            <w:tcBorders>
              <w:top w:val="nil"/>
              <w:left w:val="nil"/>
              <w:bottom w:val="single" w:sz="12" w:space="0" w:color="0070C0"/>
              <w:right w:val="single" w:sz="12" w:space="0" w:color="0070C0"/>
            </w:tcBorders>
            <w:noWrap/>
            <w:vAlign w:val="center"/>
            <w:hideMark/>
          </w:tcPr>
          <w:p w:rsidR="008F715D" w:rsidRPr="000634CD" w:rsidRDefault="008F715D" w:rsidP="002105A0">
            <w:pPr>
              <w:jc w:val="center"/>
              <w:rPr>
                <w:sz w:val="20"/>
                <w:szCs w:val="20"/>
              </w:rPr>
            </w:pPr>
          </w:p>
        </w:tc>
        <w:tc>
          <w:tcPr>
            <w:tcW w:w="1167" w:type="dxa"/>
            <w:tcBorders>
              <w:top w:val="nil"/>
              <w:left w:val="nil"/>
              <w:bottom w:val="single" w:sz="12" w:space="0" w:color="0070C0"/>
              <w:right w:val="nil"/>
            </w:tcBorders>
            <w:vAlign w:val="bottom"/>
            <w:hideMark/>
          </w:tcPr>
          <w:p w:rsidR="008F715D" w:rsidRPr="000634CD" w:rsidRDefault="008F715D" w:rsidP="002105A0">
            <w:pPr>
              <w:jc w:val="center"/>
              <w:rPr>
                <w:b/>
                <w:color w:val="000000"/>
                <w:sz w:val="20"/>
                <w:szCs w:val="20"/>
              </w:rPr>
            </w:pPr>
            <w:r w:rsidRPr="000634CD">
              <w:rPr>
                <w:b/>
                <w:color w:val="000000"/>
                <w:sz w:val="20"/>
                <w:szCs w:val="20"/>
              </w:rPr>
              <w:t>6,0%</w:t>
            </w:r>
          </w:p>
        </w:tc>
        <w:tc>
          <w:tcPr>
            <w:tcW w:w="247" w:type="dxa"/>
            <w:tcBorders>
              <w:top w:val="nil"/>
              <w:left w:val="nil"/>
              <w:bottom w:val="single" w:sz="12" w:space="0" w:color="0070C0"/>
              <w:right w:val="single" w:sz="12" w:space="0" w:color="0070C0"/>
            </w:tcBorders>
          </w:tcPr>
          <w:p w:rsidR="008F715D" w:rsidRPr="000634CD" w:rsidRDefault="008F715D" w:rsidP="002105A0">
            <w:pPr>
              <w:jc w:val="both"/>
              <w:rPr>
                <w:b/>
                <w:color w:val="000000"/>
                <w:sz w:val="20"/>
                <w:szCs w:val="20"/>
              </w:rPr>
            </w:pPr>
          </w:p>
        </w:tc>
      </w:tr>
    </w:tbl>
    <w:p w:rsidR="008F715D" w:rsidRPr="005D514F" w:rsidRDefault="008F715D" w:rsidP="008F715D">
      <w:pPr>
        <w:jc w:val="both"/>
        <w:rPr>
          <w:sz w:val="20"/>
          <w:szCs w:val="20"/>
        </w:rPr>
      </w:pPr>
      <w:r w:rsidRPr="005D514F">
        <w:rPr>
          <w:b/>
          <w:sz w:val="20"/>
          <w:szCs w:val="20"/>
        </w:rPr>
        <w:t>Sources</w:t>
      </w:r>
      <w:r w:rsidRPr="005D514F">
        <w:rPr>
          <w:sz w:val="20"/>
          <w:szCs w:val="20"/>
        </w:rPr>
        <w:t> : Banques / DGEPF</w:t>
      </w:r>
    </w:p>
    <w:p w:rsidR="008F715D" w:rsidRDefault="008F715D" w:rsidP="008F715D"/>
    <w:p w:rsidR="008F715D" w:rsidRPr="00393CDB" w:rsidRDefault="008F715D" w:rsidP="008F715D">
      <w:pPr>
        <w:pStyle w:val="Titre2"/>
        <w:rPr>
          <w:rFonts w:asciiTheme="majorBidi" w:hAnsiTheme="majorBidi" w:cstheme="majorBidi"/>
          <w:b/>
          <w:bCs/>
          <w:i w:val="0"/>
          <w:color w:val="0000FF"/>
          <w:sz w:val="24"/>
        </w:rPr>
      </w:pPr>
      <w:bookmarkStart w:id="244" w:name="_Toc427249322"/>
      <w:bookmarkStart w:id="245" w:name="_Toc453833462"/>
      <w:bookmarkStart w:id="246" w:name="_Toc462990851"/>
      <w:r>
        <w:rPr>
          <w:rFonts w:asciiTheme="majorBidi" w:hAnsiTheme="majorBidi" w:cstheme="majorBidi"/>
          <w:b/>
          <w:bCs/>
          <w:i w:val="0"/>
          <w:color w:val="0000FF"/>
          <w:sz w:val="24"/>
        </w:rPr>
        <w:t>I</w:t>
      </w:r>
      <w:r w:rsidRPr="00393CDB">
        <w:rPr>
          <w:rFonts w:asciiTheme="majorBidi" w:hAnsiTheme="majorBidi" w:cstheme="majorBidi"/>
          <w:b/>
          <w:bCs/>
          <w:i w:val="0"/>
          <w:color w:val="0000FF"/>
          <w:sz w:val="24"/>
        </w:rPr>
        <w:t>I.1</w:t>
      </w:r>
      <w:r>
        <w:rPr>
          <w:rFonts w:asciiTheme="majorBidi" w:hAnsiTheme="majorBidi" w:cstheme="majorBidi"/>
          <w:b/>
          <w:bCs/>
          <w:i w:val="0"/>
          <w:color w:val="0000FF"/>
          <w:sz w:val="24"/>
        </w:rPr>
        <w:t>9</w:t>
      </w:r>
      <w:r w:rsidRPr="00393CDB">
        <w:rPr>
          <w:rFonts w:asciiTheme="majorBidi" w:hAnsiTheme="majorBidi" w:cstheme="majorBidi"/>
          <w:b/>
          <w:bCs/>
          <w:i w:val="0"/>
          <w:color w:val="0000FF"/>
          <w:sz w:val="24"/>
        </w:rPr>
        <w:t>.LES ACTIVITES DE MICROFINANCE</w:t>
      </w:r>
      <w:bookmarkEnd w:id="244"/>
      <w:bookmarkEnd w:id="245"/>
      <w:bookmarkEnd w:id="246"/>
    </w:p>
    <w:p w:rsidR="008F715D" w:rsidRPr="00B75EA4" w:rsidRDefault="008F715D" w:rsidP="008F715D">
      <w:pPr>
        <w:pStyle w:val="Corpsdetexte2"/>
        <w:spacing w:line="240" w:lineRule="auto"/>
        <w:jc w:val="both"/>
        <w:rPr>
          <w:color w:val="000000"/>
        </w:rPr>
      </w:pPr>
      <w:bookmarkStart w:id="247" w:name="_Toc453833466"/>
    </w:p>
    <w:p w:rsidR="008F715D" w:rsidRPr="00CC6609" w:rsidRDefault="008F715D" w:rsidP="008F715D">
      <w:pPr>
        <w:pStyle w:val="Corpsdetexte2"/>
        <w:spacing w:line="240" w:lineRule="auto"/>
        <w:jc w:val="both"/>
        <w:rPr>
          <w:b/>
          <w:bCs/>
          <w:color w:val="000000"/>
        </w:rPr>
      </w:pPr>
      <w:r w:rsidRPr="00CC6609">
        <w:rPr>
          <w:color w:val="000000"/>
        </w:rPr>
        <w:t>L’activité des établissements de microfinance a enregistré de</w:t>
      </w:r>
      <w:r>
        <w:rPr>
          <w:color w:val="000000"/>
        </w:rPr>
        <w:t xml:space="preserve"> bonne</w:t>
      </w:r>
      <w:r w:rsidRPr="00CC6609">
        <w:rPr>
          <w:color w:val="000000"/>
        </w:rPr>
        <w:t>s performances</w:t>
      </w:r>
      <w:r>
        <w:rPr>
          <w:color w:val="000000"/>
        </w:rPr>
        <w:t xml:space="preserve"> </w:t>
      </w:r>
      <w:r w:rsidRPr="00CC6609">
        <w:rPr>
          <w:color w:val="000000"/>
        </w:rPr>
        <w:t xml:space="preserve">au deuxième trimestre 2016. </w:t>
      </w:r>
    </w:p>
    <w:p w:rsidR="008F715D" w:rsidRPr="00B75EA4" w:rsidRDefault="008F715D" w:rsidP="008F715D">
      <w:pPr>
        <w:pStyle w:val="Titre3"/>
        <w:ind w:firstLine="0"/>
        <w:rPr>
          <w:b/>
          <w:bCs/>
          <w:i/>
          <w:iCs/>
          <w:color w:val="0000FF"/>
          <w:sz w:val="24"/>
        </w:rPr>
      </w:pPr>
      <w:bookmarkStart w:id="248" w:name="_Toc462990852"/>
      <w:r>
        <w:rPr>
          <w:b/>
          <w:bCs/>
          <w:i/>
          <w:iCs/>
          <w:color w:val="0000FF"/>
          <w:sz w:val="24"/>
        </w:rPr>
        <w:t>II.19</w:t>
      </w:r>
      <w:r w:rsidRPr="00B75EA4">
        <w:rPr>
          <w:b/>
          <w:bCs/>
          <w:i/>
          <w:iCs/>
          <w:color w:val="0000FF"/>
          <w:sz w:val="24"/>
        </w:rPr>
        <w:t>.1. La configuration du secteur</w:t>
      </w:r>
      <w:bookmarkEnd w:id="248"/>
    </w:p>
    <w:p w:rsidR="008F715D" w:rsidRPr="00CC6609" w:rsidRDefault="008F715D" w:rsidP="008F715D">
      <w:pPr>
        <w:pStyle w:val="Corpsdetexte2"/>
        <w:spacing w:line="240" w:lineRule="auto"/>
        <w:jc w:val="both"/>
        <w:rPr>
          <w:iCs/>
          <w:u w:val="single"/>
        </w:rPr>
      </w:pPr>
    </w:p>
    <w:p w:rsidR="008F715D" w:rsidRPr="00CC6609" w:rsidRDefault="008F715D" w:rsidP="008F715D">
      <w:pPr>
        <w:pStyle w:val="Corpsdetexte2"/>
        <w:spacing w:line="240" w:lineRule="auto"/>
        <w:jc w:val="both"/>
        <w:rPr>
          <w:color w:val="000000"/>
        </w:rPr>
      </w:pPr>
      <w:r w:rsidRPr="00CC6609">
        <w:rPr>
          <w:color w:val="000000"/>
        </w:rPr>
        <w:t>Au 30 juin 2016, l’offre de services financiers de proximité est passée de 12 à 14 EMF dont quatre (4)</w:t>
      </w:r>
      <w:r w:rsidRPr="00CC6609">
        <w:t xml:space="preserve"> de première catégorie et dix (10) de deuxième catégorie, les deux nouvelles structures étant Fidelis et Crédit Solidaire du Gabon (CSG)</w:t>
      </w:r>
      <w:r w:rsidRPr="00CC6609">
        <w:rPr>
          <w:color w:val="000000"/>
        </w:rPr>
        <w:t xml:space="preserve">.   </w:t>
      </w:r>
    </w:p>
    <w:p w:rsidR="008F715D" w:rsidRPr="0094662C" w:rsidRDefault="008F715D" w:rsidP="008F715D">
      <w:pPr>
        <w:pStyle w:val="Corpsdetexte2"/>
        <w:spacing w:line="240" w:lineRule="auto"/>
        <w:ind w:firstLine="708"/>
        <w:rPr>
          <w:rFonts w:ascii="Bookman Old Style" w:hAnsi="Bookman Old Style"/>
          <w:b/>
        </w:rPr>
      </w:pPr>
    </w:p>
    <w:p w:rsidR="008F715D" w:rsidRPr="00244224" w:rsidRDefault="008F715D" w:rsidP="008F715D">
      <w:pPr>
        <w:pStyle w:val="Corpsdetexte2"/>
        <w:spacing w:line="240" w:lineRule="auto"/>
        <w:rPr>
          <w:b/>
          <w:iCs/>
          <w:sz w:val="28"/>
          <w:szCs w:val="28"/>
        </w:rPr>
      </w:pPr>
      <w:r w:rsidRPr="00244224">
        <w:rPr>
          <w:b/>
          <w:iCs/>
          <w:sz w:val="28"/>
          <w:szCs w:val="28"/>
        </w:rPr>
        <w:t xml:space="preserve">       Structure du secteur </w:t>
      </w:r>
    </w:p>
    <w:tbl>
      <w:tblPr>
        <w:tblStyle w:val="Grilledutableau"/>
        <w:tblW w:w="5507" w:type="dxa"/>
        <w:tblInd w:w="534" w:type="dxa"/>
        <w:tblLook w:val="04A0"/>
      </w:tblPr>
      <w:tblGrid>
        <w:gridCol w:w="1812"/>
        <w:gridCol w:w="1078"/>
        <w:gridCol w:w="1078"/>
        <w:gridCol w:w="1539"/>
      </w:tblGrid>
      <w:tr w:rsidR="008F715D" w:rsidRPr="008F63F7" w:rsidTr="002105A0">
        <w:tc>
          <w:tcPr>
            <w:tcW w:w="1812" w:type="dxa"/>
            <w:shd w:val="clear" w:color="auto" w:fill="auto"/>
          </w:tcPr>
          <w:p w:rsidR="008F715D" w:rsidRPr="008F63F7" w:rsidRDefault="008F715D" w:rsidP="002105A0">
            <w:pPr>
              <w:pStyle w:val="Corpsdetexte2"/>
              <w:spacing w:line="240" w:lineRule="auto"/>
              <w:jc w:val="center"/>
              <w:rPr>
                <w:b/>
                <w:i/>
                <w:iCs/>
                <w:sz w:val="20"/>
                <w:szCs w:val="20"/>
              </w:rPr>
            </w:pPr>
            <w:r w:rsidRPr="008F63F7">
              <w:rPr>
                <w:i/>
                <w:iCs/>
                <w:sz w:val="20"/>
                <w:szCs w:val="20"/>
              </w:rPr>
              <w:t>Indicateurs</w:t>
            </w:r>
          </w:p>
        </w:tc>
        <w:tc>
          <w:tcPr>
            <w:tcW w:w="1078" w:type="dxa"/>
            <w:shd w:val="clear" w:color="auto" w:fill="auto"/>
          </w:tcPr>
          <w:p w:rsidR="008F715D" w:rsidRPr="008F63F7" w:rsidRDefault="008F715D" w:rsidP="002105A0">
            <w:pPr>
              <w:pStyle w:val="Corpsdetexte2"/>
              <w:spacing w:after="0" w:line="240" w:lineRule="auto"/>
              <w:jc w:val="center"/>
              <w:rPr>
                <w:b/>
                <w:i/>
                <w:iCs/>
                <w:sz w:val="20"/>
                <w:szCs w:val="20"/>
              </w:rPr>
            </w:pPr>
            <w:r w:rsidRPr="008F63F7">
              <w:rPr>
                <w:i/>
                <w:iCs/>
                <w:sz w:val="20"/>
                <w:szCs w:val="20"/>
              </w:rPr>
              <w:t>juin 2015</w:t>
            </w:r>
          </w:p>
        </w:tc>
        <w:tc>
          <w:tcPr>
            <w:tcW w:w="1078" w:type="dxa"/>
            <w:shd w:val="clear" w:color="auto" w:fill="auto"/>
          </w:tcPr>
          <w:p w:rsidR="008F715D" w:rsidRPr="008F63F7" w:rsidRDefault="008F715D" w:rsidP="002105A0">
            <w:pPr>
              <w:pStyle w:val="Corpsdetexte2"/>
              <w:spacing w:after="0" w:line="240" w:lineRule="auto"/>
              <w:jc w:val="center"/>
              <w:rPr>
                <w:b/>
                <w:i/>
                <w:iCs/>
                <w:sz w:val="20"/>
                <w:szCs w:val="20"/>
              </w:rPr>
            </w:pPr>
            <w:r w:rsidRPr="008F63F7">
              <w:rPr>
                <w:i/>
                <w:iCs/>
                <w:sz w:val="20"/>
                <w:szCs w:val="20"/>
              </w:rPr>
              <w:t>juin 2016</w:t>
            </w:r>
          </w:p>
        </w:tc>
        <w:tc>
          <w:tcPr>
            <w:tcW w:w="1539" w:type="dxa"/>
            <w:shd w:val="clear" w:color="auto" w:fill="auto"/>
          </w:tcPr>
          <w:p w:rsidR="008F715D" w:rsidRPr="008F63F7" w:rsidRDefault="008F715D" w:rsidP="002105A0">
            <w:pPr>
              <w:pStyle w:val="Corpsdetexte2"/>
              <w:spacing w:after="0" w:line="240" w:lineRule="auto"/>
              <w:jc w:val="center"/>
              <w:rPr>
                <w:b/>
                <w:i/>
                <w:iCs/>
                <w:sz w:val="20"/>
                <w:szCs w:val="20"/>
              </w:rPr>
            </w:pPr>
            <w:r w:rsidRPr="008F63F7">
              <w:rPr>
                <w:i/>
                <w:iCs/>
                <w:sz w:val="20"/>
                <w:szCs w:val="20"/>
              </w:rPr>
              <w:t>Variation en %</w:t>
            </w:r>
          </w:p>
        </w:tc>
      </w:tr>
      <w:tr w:rsidR="008F715D" w:rsidRPr="008F63F7" w:rsidTr="002105A0">
        <w:trPr>
          <w:trHeight w:val="454"/>
        </w:trPr>
        <w:tc>
          <w:tcPr>
            <w:tcW w:w="1812" w:type="dxa"/>
          </w:tcPr>
          <w:p w:rsidR="008F715D" w:rsidRPr="008F63F7" w:rsidRDefault="008F715D" w:rsidP="002105A0">
            <w:pPr>
              <w:pStyle w:val="Corpsdetexte2"/>
              <w:spacing w:after="0" w:line="240" w:lineRule="auto"/>
              <w:jc w:val="center"/>
              <w:rPr>
                <w:iCs/>
                <w:sz w:val="20"/>
                <w:szCs w:val="20"/>
              </w:rPr>
            </w:pPr>
            <w:r w:rsidRPr="008F63F7">
              <w:rPr>
                <w:iCs/>
                <w:sz w:val="20"/>
                <w:szCs w:val="20"/>
              </w:rPr>
              <w:t>Nombre d’EMF</w:t>
            </w:r>
          </w:p>
        </w:tc>
        <w:tc>
          <w:tcPr>
            <w:tcW w:w="1078" w:type="dxa"/>
          </w:tcPr>
          <w:p w:rsidR="008F715D" w:rsidRPr="008F63F7" w:rsidRDefault="008F715D" w:rsidP="002105A0">
            <w:pPr>
              <w:pStyle w:val="Corpsdetexte2"/>
              <w:spacing w:after="0" w:line="240" w:lineRule="auto"/>
              <w:jc w:val="center"/>
              <w:rPr>
                <w:b/>
                <w:iCs/>
                <w:sz w:val="20"/>
                <w:szCs w:val="20"/>
              </w:rPr>
            </w:pPr>
            <w:r w:rsidRPr="008F63F7">
              <w:rPr>
                <w:iCs/>
                <w:sz w:val="20"/>
                <w:szCs w:val="20"/>
              </w:rPr>
              <w:t>12</w:t>
            </w:r>
          </w:p>
        </w:tc>
        <w:tc>
          <w:tcPr>
            <w:tcW w:w="1078" w:type="dxa"/>
          </w:tcPr>
          <w:p w:rsidR="008F715D" w:rsidRPr="008F63F7" w:rsidRDefault="008F715D" w:rsidP="002105A0">
            <w:pPr>
              <w:pStyle w:val="Corpsdetexte2"/>
              <w:spacing w:after="0" w:line="240" w:lineRule="auto"/>
              <w:rPr>
                <w:b/>
                <w:i/>
                <w:iCs/>
                <w:sz w:val="20"/>
                <w:szCs w:val="20"/>
              </w:rPr>
            </w:pPr>
            <w:r w:rsidRPr="008F63F7">
              <w:rPr>
                <w:i/>
                <w:iCs/>
                <w:sz w:val="20"/>
                <w:szCs w:val="20"/>
              </w:rPr>
              <w:t>14</w:t>
            </w:r>
          </w:p>
        </w:tc>
        <w:tc>
          <w:tcPr>
            <w:tcW w:w="1539" w:type="dxa"/>
          </w:tcPr>
          <w:p w:rsidR="008F715D" w:rsidRPr="008F63F7" w:rsidRDefault="008F715D" w:rsidP="002105A0">
            <w:pPr>
              <w:pStyle w:val="Corpsdetexte2"/>
              <w:spacing w:after="0" w:line="240" w:lineRule="auto"/>
              <w:jc w:val="center"/>
              <w:rPr>
                <w:iCs/>
                <w:sz w:val="20"/>
                <w:szCs w:val="20"/>
              </w:rPr>
            </w:pPr>
            <w:r w:rsidRPr="008F63F7">
              <w:rPr>
                <w:iCs/>
                <w:sz w:val="20"/>
                <w:szCs w:val="20"/>
              </w:rPr>
              <w:t>16,67</w:t>
            </w:r>
          </w:p>
        </w:tc>
      </w:tr>
      <w:tr w:rsidR="008F715D" w:rsidRPr="008F63F7" w:rsidTr="002105A0">
        <w:trPr>
          <w:trHeight w:val="329"/>
        </w:trPr>
        <w:tc>
          <w:tcPr>
            <w:tcW w:w="1812" w:type="dxa"/>
          </w:tcPr>
          <w:p w:rsidR="008F715D" w:rsidRPr="008F63F7" w:rsidRDefault="008F715D" w:rsidP="002105A0">
            <w:pPr>
              <w:pStyle w:val="Corpsdetexte2"/>
              <w:spacing w:after="0" w:line="240" w:lineRule="auto"/>
              <w:jc w:val="center"/>
              <w:rPr>
                <w:b/>
                <w:iCs/>
                <w:sz w:val="20"/>
                <w:szCs w:val="20"/>
              </w:rPr>
            </w:pPr>
            <w:r w:rsidRPr="008F63F7">
              <w:rPr>
                <w:iCs/>
                <w:sz w:val="20"/>
                <w:szCs w:val="20"/>
              </w:rPr>
              <w:t>Nombre d’agences</w:t>
            </w:r>
          </w:p>
        </w:tc>
        <w:tc>
          <w:tcPr>
            <w:tcW w:w="1078" w:type="dxa"/>
          </w:tcPr>
          <w:p w:rsidR="008F715D" w:rsidRPr="008F63F7" w:rsidRDefault="008F715D" w:rsidP="002105A0">
            <w:pPr>
              <w:pStyle w:val="Corpsdetexte2"/>
              <w:spacing w:after="0" w:line="240" w:lineRule="auto"/>
              <w:jc w:val="center"/>
              <w:rPr>
                <w:b/>
                <w:iCs/>
                <w:sz w:val="20"/>
                <w:szCs w:val="20"/>
              </w:rPr>
            </w:pPr>
            <w:r w:rsidRPr="008F63F7">
              <w:rPr>
                <w:iCs/>
                <w:sz w:val="20"/>
                <w:szCs w:val="20"/>
              </w:rPr>
              <w:t>58</w:t>
            </w:r>
          </w:p>
        </w:tc>
        <w:tc>
          <w:tcPr>
            <w:tcW w:w="1078" w:type="dxa"/>
          </w:tcPr>
          <w:p w:rsidR="008F715D" w:rsidRPr="008F63F7" w:rsidRDefault="008F715D" w:rsidP="002105A0">
            <w:pPr>
              <w:pStyle w:val="Corpsdetexte2"/>
              <w:spacing w:after="0" w:line="240" w:lineRule="auto"/>
              <w:rPr>
                <w:b/>
                <w:i/>
                <w:iCs/>
                <w:sz w:val="20"/>
                <w:szCs w:val="20"/>
              </w:rPr>
            </w:pPr>
            <w:r w:rsidRPr="008F63F7">
              <w:rPr>
                <w:i/>
                <w:iCs/>
                <w:sz w:val="20"/>
                <w:szCs w:val="20"/>
              </w:rPr>
              <w:t>61</w:t>
            </w:r>
          </w:p>
        </w:tc>
        <w:tc>
          <w:tcPr>
            <w:tcW w:w="1539" w:type="dxa"/>
          </w:tcPr>
          <w:p w:rsidR="008F715D" w:rsidRPr="008F63F7" w:rsidRDefault="008F715D" w:rsidP="002105A0">
            <w:pPr>
              <w:pStyle w:val="Corpsdetexte2"/>
              <w:spacing w:after="0" w:line="240" w:lineRule="auto"/>
              <w:jc w:val="center"/>
              <w:rPr>
                <w:iCs/>
                <w:sz w:val="20"/>
                <w:szCs w:val="20"/>
              </w:rPr>
            </w:pPr>
            <w:r w:rsidRPr="008F63F7">
              <w:rPr>
                <w:iCs/>
                <w:sz w:val="20"/>
                <w:szCs w:val="20"/>
              </w:rPr>
              <w:t>5,17</w:t>
            </w:r>
          </w:p>
        </w:tc>
      </w:tr>
    </w:tbl>
    <w:p w:rsidR="008F715D" w:rsidRPr="00244224" w:rsidRDefault="008F715D" w:rsidP="008F715D">
      <w:pPr>
        <w:pStyle w:val="Corpsdetexte2"/>
        <w:spacing w:line="240" w:lineRule="auto"/>
        <w:rPr>
          <w:b/>
          <w:sz w:val="20"/>
          <w:szCs w:val="20"/>
        </w:rPr>
      </w:pPr>
      <w:r w:rsidRPr="00244224">
        <w:rPr>
          <w:iCs/>
          <w:sz w:val="20"/>
          <w:szCs w:val="20"/>
        </w:rPr>
        <w:t xml:space="preserve">          </w:t>
      </w:r>
      <w:r w:rsidRPr="00244224">
        <w:rPr>
          <w:iCs/>
          <w:sz w:val="20"/>
          <w:szCs w:val="20"/>
          <w:u w:val="single"/>
        </w:rPr>
        <w:t>Sources</w:t>
      </w:r>
      <w:r w:rsidRPr="00244224">
        <w:rPr>
          <w:iCs/>
          <w:sz w:val="20"/>
          <w:szCs w:val="20"/>
        </w:rPr>
        <w:t xml:space="preserve"> : </w:t>
      </w:r>
      <w:r w:rsidRPr="00244224">
        <w:rPr>
          <w:color w:val="000000"/>
          <w:sz w:val="20"/>
          <w:szCs w:val="20"/>
        </w:rPr>
        <w:t>EMF/Cellule Microfinance</w:t>
      </w:r>
    </w:p>
    <w:p w:rsidR="008F715D" w:rsidRPr="00CC6609" w:rsidRDefault="008F715D" w:rsidP="008F715D">
      <w:pPr>
        <w:autoSpaceDE w:val="0"/>
        <w:autoSpaceDN w:val="0"/>
        <w:adjustRightInd w:val="0"/>
        <w:rPr>
          <w:rFonts w:eastAsiaTheme="minorHAnsi"/>
          <w:lang w:eastAsia="en-US"/>
        </w:rPr>
      </w:pPr>
    </w:p>
    <w:p w:rsidR="008F715D" w:rsidRPr="00CC6609" w:rsidRDefault="008F715D" w:rsidP="008F715D">
      <w:pPr>
        <w:autoSpaceDE w:val="0"/>
        <w:autoSpaceDN w:val="0"/>
        <w:adjustRightInd w:val="0"/>
        <w:rPr>
          <w:rFonts w:eastAsiaTheme="minorHAnsi"/>
          <w:lang w:eastAsia="en-US"/>
        </w:rPr>
      </w:pPr>
      <w:r w:rsidRPr="002205E6">
        <w:rPr>
          <w:rFonts w:eastAsiaTheme="minorHAnsi"/>
          <w:lang w:eastAsia="en-US"/>
        </w:rPr>
        <w:t>Cette répartition consacre toujours le contrôle de l’activité par les sociétés anonymes dites structures de la deuxième catégorie.</w:t>
      </w:r>
    </w:p>
    <w:p w:rsidR="008F715D" w:rsidRPr="00B02DAA" w:rsidRDefault="008F715D" w:rsidP="008F715D">
      <w:pPr>
        <w:pStyle w:val="Corpsdetexte2"/>
        <w:spacing w:line="240" w:lineRule="auto"/>
        <w:rPr>
          <w:iCs/>
        </w:rPr>
      </w:pPr>
    </w:p>
    <w:p w:rsidR="008F715D" w:rsidRPr="00B75EA4" w:rsidRDefault="008F715D" w:rsidP="008F715D">
      <w:pPr>
        <w:pStyle w:val="Titre3"/>
        <w:ind w:firstLine="0"/>
        <w:rPr>
          <w:b/>
          <w:bCs/>
          <w:i/>
          <w:iCs/>
          <w:color w:val="0000FF"/>
          <w:sz w:val="24"/>
        </w:rPr>
      </w:pPr>
      <w:bookmarkStart w:id="249" w:name="_Toc462990853"/>
      <w:r>
        <w:rPr>
          <w:b/>
          <w:bCs/>
          <w:i/>
          <w:iCs/>
          <w:color w:val="0000FF"/>
          <w:sz w:val="24"/>
        </w:rPr>
        <w:t>II.19</w:t>
      </w:r>
      <w:r w:rsidRPr="00B75EA4">
        <w:rPr>
          <w:b/>
          <w:bCs/>
          <w:i/>
          <w:iCs/>
          <w:color w:val="0000FF"/>
          <w:sz w:val="24"/>
        </w:rPr>
        <w:t>.2. La couverture géographique et la clientèle des EMF</w:t>
      </w:r>
      <w:bookmarkEnd w:id="249"/>
    </w:p>
    <w:p w:rsidR="008F715D" w:rsidRPr="00CC6609" w:rsidRDefault="008F715D" w:rsidP="008F715D">
      <w:pPr>
        <w:pStyle w:val="Corpsdetexte2"/>
        <w:spacing w:line="240" w:lineRule="auto"/>
        <w:jc w:val="both"/>
      </w:pPr>
    </w:p>
    <w:p w:rsidR="008F715D" w:rsidRPr="00CC6609" w:rsidRDefault="008F715D" w:rsidP="008F715D">
      <w:pPr>
        <w:pStyle w:val="Corpsdetexte2"/>
        <w:spacing w:line="240" w:lineRule="auto"/>
        <w:jc w:val="both"/>
        <w:rPr>
          <w:b/>
        </w:rPr>
      </w:pPr>
      <w:r w:rsidRPr="00CC6609">
        <w:t xml:space="preserve">Le nombre d’agences et points de vente est passé de 58 à 61, soit 3 agences nouvellement créées. Cette évolution traduit la volonté des opérateurs de se rapprocher des populations cibles. Toutefois, les activités sont majoritairement concentrées à Libreville </w:t>
      </w:r>
      <w:r>
        <w:t>qui accueille</w:t>
      </w:r>
      <w:r w:rsidRPr="00CC6609">
        <w:t xml:space="preserve"> 47 agences.</w:t>
      </w:r>
    </w:p>
    <w:p w:rsidR="008F715D" w:rsidRDefault="008F715D" w:rsidP="008F715D">
      <w:pPr>
        <w:pStyle w:val="Corpsdetexte2"/>
        <w:spacing w:line="240" w:lineRule="auto"/>
        <w:jc w:val="both"/>
        <w:rPr>
          <w:b/>
        </w:rPr>
      </w:pPr>
    </w:p>
    <w:p w:rsidR="008F715D" w:rsidRDefault="008F715D" w:rsidP="008F715D">
      <w:pPr>
        <w:pStyle w:val="Corpsdetexte2"/>
        <w:spacing w:line="240" w:lineRule="auto"/>
        <w:jc w:val="both"/>
        <w:rPr>
          <w:b/>
        </w:rPr>
      </w:pPr>
    </w:p>
    <w:p w:rsidR="008F715D" w:rsidRPr="00CC6609" w:rsidRDefault="008F715D" w:rsidP="008F715D">
      <w:pPr>
        <w:pStyle w:val="Corpsdetexte2"/>
        <w:spacing w:line="240" w:lineRule="auto"/>
        <w:jc w:val="both"/>
        <w:rPr>
          <w:b/>
        </w:rPr>
      </w:pPr>
    </w:p>
    <w:p w:rsidR="008F715D" w:rsidRPr="00244224" w:rsidRDefault="008F715D" w:rsidP="008F715D">
      <w:pPr>
        <w:pStyle w:val="Corpsdetexte2"/>
        <w:spacing w:after="0" w:line="240" w:lineRule="auto"/>
        <w:jc w:val="both"/>
        <w:rPr>
          <w:b/>
          <w:color w:val="000000"/>
        </w:rPr>
      </w:pPr>
      <w:r w:rsidRPr="00244224">
        <w:rPr>
          <w:b/>
          <w:color w:val="000000"/>
        </w:rPr>
        <w:t xml:space="preserve">          Evolution des usagers et des effectifs</w:t>
      </w:r>
    </w:p>
    <w:tbl>
      <w:tblPr>
        <w:tblpPr w:leftFromText="141" w:rightFromText="141" w:vertAnchor="text" w:horzAnchor="margin" w:tblpXSpec="center" w:tblpY="74"/>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2235"/>
        <w:gridCol w:w="2126"/>
        <w:gridCol w:w="1985"/>
      </w:tblGrid>
      <w:tr w:rsidR="008F715D" w:rsidRPr="00CC6609" w:rsidTr="002105A0">
        <w:tc>
          <w:tcPr>
            <w:tcW w:w="1559" w:type="dxa"/>
            <w:shd w:val="clear" w:color="auto" w:fill="auto"/>
          </w:tcPr>
          <w:p w:rsidR="008F715D" w:rsidRPr="001F4B85" w:rsidRDefault="008F715D" w:rsidP="002105A0">
            <w:pPr>
              <w:pStyle w:val="Default"/>
              <w:jc w:val="center"/>
              <w:rPr>
                <w:rFonts w:ascii="Times New Roman" w:hAnsi="Times New Roman" w:cs="Times New Roman"/>
                <w:b/>
              </w:rPr>
            </w:pPr>
          </w:p>
        </w:tc>
        <w:tc>
          <w:tcPr>
            <w:tcW w:w="2235" w:type="dxa"/>
            <w:shd w:val="clear" w:color="auto" w:fill="auto"/>
          </w:tcPr>
          <w:p w:rsidR="008F715D" w:rsidRPr="001F4B85" w:rsidRDefault="008F715D" w:rsidP="002105A0">
            <w:pPr>
              <w:pStyle w:val="Corpsdetexte2"/>
              <w:spacing w:line="240" w:lineRule="auto"/>
              <w:jc w:val="center"/>
              <w:rPr>
                <w:b/>
                <w:i/>
                <w:iCs/>
              </w:rPr>
            </w:pPr>
            <w:r w:rsidRPr="001F4B85">
              <w:rPr>
                <w:b/>
                <w:i/>
                <w:iCs/>
              </w:rPr>
              <w:t>juin 2015</w:t>
            </w:r>
          </w:p>
        </w:tc>
        <w:tc>
          <w:tcPr>
            <w:tcW w:w="2126" w:type="dxa"/>
            <w:shd w:val="clear" w:color="auto" w:fill="auto"/>
          </w:tcPr>
          <w:p w:rsidR="008F715D" w:rsidRPr="001F4B85" w:rsidRDefault="008F715D" w:rsidP="002105A0">
            <w:pPr>
              <w:pStyle w:val="Corpsdetexte2"/>
              <w:spacing w:line="240" w:lineRule="auto"/>
              <w:jc w:val="center"/>
              <w:rPr>
                <w:b/>
                <w:i/>
                <w:iCs/>
              </w:rPr>
            </w:pPr>
            <w:r w:rsidRPr="001F4B85">
              <w:rPr>
                <w:b/>
                <w:i/>
                <w:iCs/>
              </w:rPr>
              <w:t>juin 2016</w:t>
            </w:r>
          </w:p>
        </w:tc>
        <w:tc>
          <w:tcPr>
            <w:tcW w:w="1985" w:type="dxa"/>
            <w:shd w:val="clear" w:color="auto" w:fill="auto"/>
          </w:tcPr>
          <w:p w:rsidR="008F715D" w:rsidRPr="001F4B85" w:rsidRDefault="008F715D" w:rsidP="002105A0">
            <w:pPr>
              <w:pStyle w:val="Corpsdetexte2"/>
              <w:spacing w:line="240" w:lineRule="auto"/>
              <w:jc w:val="center"/>
              <w:rPr>
                <w:b/>
                <w:i/>
                <w:iCs/>
              </w:rPr>
            </w:pPr>
            <w:r w:rsidRPr="001F4B85">
              <w:rPr>
                <w:b/>
                <w:i/>
                <w:iCs/>
              </w:rPr>
              <w:t>Variation en %</w:t>
            </w:r>
          </w:p>
        </w:tc>
      </w:tr>
      <w:tr w:rsidR="008F715D" w:rsidRPr="00CC6609" w:rsidTr="002105A0">
        <w:tc>
          <w:tcPr>
            <w:tcW w:w="1559" w:type="dxa"/>
          </w:tcPr>
          <w:p w:rsidR="008F715D" w:rsidRPr="00CC6609" w:rsidRDefault="008F715D" w:rsidP="002105A0">
            <w:pPr>
              <w:pStyle w:val="Default"/>
              <w:jc w:val="center"/>
              <w:rPr>
                <w:rFonts w:ascii="Times New Roman" w:hAnsi="Times New Roman" w:cs="Times New Roman"/>
                <w:b/>
              </w:rPr>
            </w:pPr>
            <w:r w:rsidRPr="00CC6609">
              <w:rPr>
                <w:rFonts w:ascii="Times New Roman" w:hAnsi="Times New Roman" w:cs="Times New Roman"/>
                <w:b/>
              </w:rPr>
              <w:t>Usagers</w:t>
            </w:r>
          </w:p>
        </w:tc>
        <w:tc>
          <w:tcPr>
            <w:tcW w:w="2235" w:type="dxa"/>
          </w:tcPr>
          <w:p w:rsidR="008F715D" w:rsidRPr="00CC6609" w:rsidRDefault="008F715D" w:rsidP="002105A0">
            <w:pPr>
              <w:pStyle w:val="Default"/>
              <w:jc w:val="center"/>
              <w:rPr>
                <w:rFonts w:ascii="Times New Roman" w:hAnsi="Times New Roman" w:cs="Times New Roman"/>
                <w:color w:val="auto"/>
              </w:rPr>
            </w:pPr>
            <w:r w:rsidRPr="00CC6609">
              <w:rPr>
                <w:rFonts w:ascii="Times New Roman" w:hAnsi="Times New Roman" w:cs="Times New Roman"/>
                <w:color w:val="auto"/>
              </w:rPr>
              <w:t>109 118</w:t>
            </w:r>
          </w:p>
        </w:tc>
        <w:tc>
          <w:tcPr>
            <w:tcW w:w="2126" w:type="dxa"/>
          </w:tcPr>
          <w:p w:rsidR="008F715D" w:rsidRPr="00CC6609" w:rsidRDefault="008F715D" w:rsidP="002105A0">
            <w:pPr>
              <w:pStyle w:val="Default"/>
              <w:jc w:val="center"/>
              <w:rPr>
                <w:rFonts w:ascii="Times New Roman" w:hAnsi="Times New Roman" w:cs="Times New Roman"/>
                <w:color w:val="auto"/>
              </w:rPr>
            </w:pPr>
            <w:r w:rsidRPr="00CC6609">
              <w:rPr>
                <w:rFonts w:ascii="Times New Roman" w:hAnsi="Times New Roman" w:cs="Times New Roman"/>
                <w:color w:val="auto"/>
              </w:rPr>
              <w:t>136 985</w:t>
            </w:r>
          </w:p>
        </w:tc>
        <w:tc>
          <w:tcPr>
            <w:tcW w:w="1985" w:type="dxa"/>
          </w:tcPr>
          <w:p w:rsidR="008F715D" w:rsidRPr="00CC6609" w:rsidRDefault="008F715D" w:rsidP="002105A0">
            <w:pPr>
              <w:pStyle w:val="Default"/>
              <w:jc w:val="center"/>
              <w:rPr>
                <w:rFonts w:ascii="Times New Roman" w:hAnsi="Times New Roman" w:cs="Times New Roman"/>
                <w:color w:val="auto"/>
              </w:rPr>
            </w:pPr>
            <w:r w:rsidRPr="00CC6609">
              <w:rPr>
                <w:rFonts w:ascii="Times New Roman" w:hAnsi="Times New Roman" w:cs="Times New Roman"/>
                <w:color w:val="auto"/>
              </w:rPr>
              <w:t>25,53</w:t>
            </w:r>
          </w:p>
        </w:tc>
      </w:tr>
      <w:tr w:rsidR="008F715D" w:rsidRPr="00CC6609" w:rsidTr="002105A0">
        <w:trPr>
          <w:trHeight w:val="378"/>
        </w:trPr>
        <w:tc>
          <w:tcPr>
            <w:tcW w:w="1559" w:type="dxa"/>
          </w:tcPr>
          <w:p w:rsidR="008F715D" w:rsidRPr="00CC6609" w:rsidRDefault="008F715D" w:rsidP="002105A0">
            <w:pPr>
              <w:pStyle w:val="Default"/>
              <w:jc w:val="center"/>
              <w:rPr>
                <w:rFonts w:ascii="Times New Roman" w:hAnsi="Times New Roman" w:cs="Times New Roman"/>
                <w:b/>
              </w:rPr>
            </w:pPr>
            <w:r w:rsidRPr="00CC6609">
              <w:rPr>
                <w:rFonts w:ascii="Times New Roman" w:hAnsi="Times New Roman" w:cs="Times New Roman"/>
                <w:b/>
              </w:rPr>
              <w:t>Effectifs</w:t>
            </w:r>
          </w:p>
        </w:tc>
        <w:tc>
          <w:tcPr>
            <w:tcW w:w="2235" w:type="dxa"/>
          </w:tcPr>
          <w:p w:rsidR="008F715D" w:rsidRPr="00CC6609" w:rsidRDefault="008F715D" w:rsidP="002105A0">
            <w:pPr>
              <w:pStyle w:val="Default"/>
              <w:jc w:val="center"/>
              <w:rPr>
                <w:rFonts w:ascii="Times New Roman" w:hAnsi="Times New Roman" w:cs="Times New Roman"/>
                <w:color w:val="auto"/>
              </w:rPr>
            </w:pPr>
            <w:r w:rsidRPr="00CC6609">
              <w:rPr>
                <w:rFonts w:ascii="Times New Roman" w:hAnsi="Times New Roman" w:cs="Times New Roman"/>
                <w:color w:val="auto"/>
              </w:rPr>
              <w:t>451</w:t>
            </w:r>
          </w:p>
        </w:tc>
        <w:tc>
          <w:tcPr>
            <w:tcW w:w="2126" w:type="dxa"/>
          </w:tcPr>
          <w:p w:rsidR="008F715D" w:rsidRPr="00CC6609" w:rsidRDefault="008F715D" w:rsidP="002105A0">
            <w:pPr>
              <w:pStyle w:val="Default"/>
              <w:jc w:val="center"/>
              <w:rPr>
                <w:rFonts w:ascii="Times New Roman" w:hAnsi="Times New Roman" w:cs="Times New Roman"/>
                <w:color w:val="auto"/>
              </w:rPr>
            </w:pPr>
            <w:r w:rsidRPr="00CC6609">
              <w:rPr>
                <w:rFonts w:ascii="Times New Roman" w:hAnsi="Times New Roman" w:cs="Times New Roman"/>
                <w:color w:val="auto"/>
              </w:rPr>
              <w:t>540</w:t>
            </w:r>
          </w:p>
        </w:tc>
        <w:tc>
          <w:tcPr>
            <w:tcW w:w="1985" w:type="dxa"/>
          </w:tcPr>
          <w:p w:rsidR="008F715D" w:rsidRPr="00CC6609" w:rsidRDefault="008F715D" w:rsidP="002105A0">
            <w:pPr>
              <w:pStyle w:val="Default"/>
              <w:jc w:val="center"/>
              <w:rPr>
                <w:rFonts w:ascii="Times New Roman" w:hAnsi="Times New Roman" w:cs="Times New Roman"/>
                <w:color w:val="auto"/>
              </w:rPr>
            </w:pPr>
            <w:r w:rsidRPr="00CC6609">
              <w:rPr>
                <w:rFonts w:ascii="Times New Roman" w:hAnsi="Times New Roman" w:cs="Times New Roman"/>
                <w:color w:val="auto"/>
              </w:rPr>
              <w:t>19,73</w:t>
            </w:r>
          </w:p>
        </w:tc>
      </w:tr>
    </w:tbl>
    <w:p w:rsidR="008F715D" w:rsidRPr="00CC6609" w:rsidRDefault="008F715D" w:rsidP="008F715D">
      <w:pPr>
        <w:pStyle w:val="Corpsdetexte2"/>
        <w:spacing w:line="240" w:lineRule="auto"/>
        <w:jc w:val="both"/>
        <w:rPr>
          <w:color w:val="000000"/>
          <w:u w:val="single"/>
        </w:rPr>
      </w:pPr>
    </w:p>
    <w:p w:rsidR="008F715D" w:rsidRPr="00CC6609" w:rsidRDefault="008F715D" w:rsidP="008F715D">
      <w:pPr>
        <w:pStyle w:val="Corpsdetexte2"/>
        <w:spacing w:line="240" w:lineRule="auto"/>
        <w:jc w:val="both"/>
        <w:rPr>
          <w:color w:val="000000"/>
          <w:u w:val="single"/>
        </w:rPr>
      </w:pPr>
    </w:p>
    <w:p w:rsidR="008F715D" w:rsidRPr="00CC6609" w:rsidRDefault="008F715D" w:rsidP="008F715D">
      <w:pPr>
        <w:pStyle w:val="Corpsdetexte2"/>
        <w:spacing w:line="240" w:lineRule="auto"/>
        <w:jc w:val="both"/>
        <w:rPr>
          <w:color w:val="000000"/>
          <w:u w:val="single"/>
        </w:rPr>
      </w:pPr>
    </w:p>
    <w:p w:rsidR="008F715D" w:rsidRPr="00244224" w:rsidRDefault="008F715D" w:rsidP="008F715D">
      <w:pPr>
        <w:pStyle w:val="Corpsdetexte2"/>
        <w:spacing w:line="240" w:lineRule="auto"/>
        <w:ind w:firstLine="708"/>
        <w:jc w:val="both"/>
        <w:rPr>
          <w:b/>
          <w:sz w:val="20"/>
          <w:szCs w:val="20"/>
        </w:rPr>
      </w:pPr>
      <w:r w:rsidRPr="00244224">
        <w:rPr>
          <w:color w:val="000000"/>
          <w:sz w:val="20"/>
          <w:szCs w:val="20"/>
          <w:u w:val="single"/>
        </w:rPr>
        <w:t>Source</w:t>
      </w:r>
      <w:r w:rsidRPr="00244224">
        <w:rPr>
          <w:color w:val="000000"/>
          <w:sz w:val="20"/>
          <w:szCs w:val="20"/>
        </w:rPr>
        <w:t> : EMF/Cellule Microfinance</w:t>
      </w:r>
    </w:p>
    <w:p w:rsidR="008F715D" w:rsidRPr="00CC6609" w:rsidRDefault="008F715D" w:rsidP="008F715D">
      <w:pPr>
        <w:pStyle w:val="Corpsdetexte2"/>
        <w:spacing w:line="240" w:lineRule="auto"/>
        <w:ind w:firstLine="708"/>
        <w:jc w:val="both"/>
        <w:rPr>
          <w:b/>
        </w:rPr>
      </w:pPr>
    </w:p>
    <w:p w:rsidR="008F715D" w:rsidRPr="00CC6609" w:rsidRDefault="008F715D" w:rsidP="008F715D">
      <w:pPr>
        <w:pStyle w:val="Corpsdetexte2"/>
        <w:spacing w:line="240" w:lineRule="auto"/>
        <w:jc w:val="both"/>
        <w:rPr>
          <w:b/>
          <w:bCs/>
        </w:rPr>
      </w:pPr>
      <w:r w:rsidRPr="002205E6">
        <w:t>Grâce aux efforts d’élargissement de la couverture géographique, le nombre de</w:t>
      </w:r>
      <w:r w:rsidRPr="002205E6">
        <w:rPr>
          <w:color w:val="FF0000"/>
        </w:rPr>
        <w:t xml:space="preserve"> </w:t>
      </w:r>
      <w:r w:rsidRPr="002205E6">
        <w:rPr>
          <w:rFonts w:eastAsia="Calibri"/>
          <w:lang w:eastAsia="en-US"/>
        </w:rPr>
        <w:t xml:space="preserve">bénéficiaires des services des EMF a enregistré une hausse de </w:t>
      </w:r>
      <w:r w:rsidRPr="002205E6">
        <w:t>25,53%</w:t>
      </w:r>
      <w:r w:rsidRPr="002205E6">
        <w:rPr>
          <w:rFonts w:eastAsia="Calibri"/>
          <w:lang w:eastAsia="en-US"/>
        </w:rPr>
        <w:t xml:space="preserve">, passant de </w:t>
      </w:r>
      <w:r w:rsidRPr="002205E6">
        <w:t>109 118 clients en juin 2015 à 136 985 en juin 2016.</w:t>
      </w:r>
    </w:p>
    <w:p w:rsidR="008F715D" w:rsidRDefault="008F715D" w:rsidP="008F715D">
      <w:pPr>
        <w:pStyle w:val="Default"/>
        <w:jc w:val="both"/>
        <w:rPr>
          <w:rFonts w:ascii="Bookman Old Style" w:hAnsi="Bookman Old Style"/>
        </w:rPr>
      </w:pPr>
    </w:p>
    <w:p w:rsidR="008F715D" w:rsidRDefault="008F715D" w:rsidP="008F715D">
      <w:pPr>
        <w:pStyle w:val="Default"/>
        <w:jc w:val="both"/>
        <w:rPr>
          <w:rFonts w:ascii="Bookman Old Style" w:hAnsi="Bookman Old Style"/>
        </w:rPr>
      </w:pPr>
      <w:r w:rsidRPr="00F82AD2">
        <w:rPr>
          <w:rFonts w:ascii="Bookman Old Style" w:hAnsi="Bookman Old Style"/>
          <w:noProof/>
          <w:bdr w:val="single" w:sz="4" w:space="0" w:color="auto"/>
        </w:rPr>
        <w:drawing>
          <wp:inline distT="0" distB="0" distL="0" distR="0">
            <wp:extent cx="4572000" cy="1943100"/>
            <wp:effectExtent l="19050" t="0" r="19050" b="0"/>
            <wp:docPr id="1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F715D" w:rsidRDefault="008F715D" w:rsidP="008F715D">
      <w:pPr>
        <w:pStyle w:val="Default"/>
        <w:jc w:val="both"/>
        <w:rPr>
          <w:rFonts w:ascii="Bookman Old Style" w:hAnsi="Bookman Old Style"/>
        </w:rPr>
      </w:pPr>
    </w:p>
    <w:p w:rsidR="008F715D" w:rsidRDefault="008F715D" w:rsidP="008F715D">
      <w:pPr>
        <w:pStyle w:val="Default"/>
        <w:jc w:val="both"/>
        <w:rPr>
          <w:rFonts w:ascii="Bookman Old Style" w:hAnsi="Bookman Old Style"/>
        </w:rPr>
      </w:pPr>
    </w:p>
    <w:p w:rsidR="008F715D" w:rsidRPr="00CC6609" w:rsidRDefault="008F715D" w:rsidP="008F715D">
      <w:pPr>
        <w:pStyle w:val="Default"/>
        <w:jc w:val="both"/>
        <w:rPr>
          <w:rFonts w:ascii="Times New Roman" w:hAnsi="Times New Roman" w:cs="Times New Roman"/>
        </w:rPr>
      </w:pPr>
      <w:r w:rsidRPr="00CC6609">
        <w:rPr>
          <w:rFonts w:ascii="Times New Roman" w:hAnsi="Times New Roman" w:cs="Times New Roman"/>
        </w:rPr>
        <w:t>Les effectifs employés par le secteur ont évolué considérablement. Ainsi,  de</w:t>
      </w:r>
      <w:r w:rsidRPr="00CC6609">
        <w:rPr>
          <w:rFonts w:ascii="Times New Roman" w:hAnsi="Times New Roman" w:cs="Times New Roman"/>
          <w:b/>
        </w:rPr>
        <w:t xml:space="preserve"> </w:t>
      </w:r>
      <w:r w:rsidRPr="00CC6609">
        <w:rPr>
          <w:rFonts w:ascii="Times New Roman" w:hAnsi="Times New Roman" w:cs="Times New Roman"/>
        </w:rPr>
        <w:t>451 agents en 2015 le nombre a augmenté de 19,73% pour atteindre 540 salariés en juin 2016, en raison de l’embauche dans plusieurs agences.</w:t>
      </w:r>
    </w:p>
    <w:p w:rsidR="008F715D" w:rsidRPr="00CC6609" w:rsidRDefault="008F715D" w:rsidP="008F715D">
      <w:pPr>
        <w:pStyle w:val="Default"/>
        <w:jc w:val="both"/>
        <w:rPr>
          <w:rFonts w:ascii="Times New Roman" w:hAnsi="Times New Roman" w:cs="Times New Roman"/>
        </w:rPr>
      </w:pPr>
    </w:p>
    <w:p w:rsidR="008F715D" w:rsidRDefault="008F715D" w:rsidP="008F715D">
      <w:pPr>
        <w:pStyle w:val="Default"/>
        <w:jc w:val="both"/>
        <w:rPr>
          <w:rFonts w:ascii="Bookman Old Style" w:hAnsi="Bookman Old Style"/>
        </w:rPr>
      </w:pPr>
    </w:p>
    <w:p w:rsidR="008F715D" w:rsidRDefault="008F715D" w:rsidP="008F715D">
      <w:pPr>
        <w:pStyle w:val="Default"/>
        <w:jc w:val="both"/>
        <w:rPr>
          <w:rFonts w:ascii="Bookman Old Style" w:hAnsi="Bookman Old Style"/>
        </w:rPr>
      </w:pPr>
      <w:r w:rsidRPr="0061596F">
        <w:rPr>
          <w:rFonts w:ascii="Bookman Old Style" w:hAnsi="Bookman Old Style"/>
          <w:noProof/>
          <w:bdr w:val="single" w:sz="4" w:space="0" w:color="auto"/>
        </w:rPr>
        <w:lastRenderedPageBreak/>
        <w:drawing>
          <wp:inline distT="0" distB="0" distL="0" distR="0">
            <wp:extent cx="4572000" cy="2466975"/>
            <wp:effectExtent l="0" t="0" r="0" b="9525"/>
            <wp:docPr id="11"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F715D" w:rsidRDefault="008F715D" w:rsidP="008F715D">
      <w:pPr>
        <w:pStyle w:val="Default"/>
        <w:jc w:val="both"/>
        <w:rPr>
          <w:rFonts w:ascii="Bookman Old Style" w:hAnsi="Bookman Old Style"/>
        </w:rPr>
      </w:pPr>
    </w:p>
    <w:p w:rsidR="008F715D" w:rsidRDefault="008F715D" w:rsidP="008F715D">
      <w:pPr>
        <w:pStyle w:val="Default"/>
        <w:jc w:val="both"/>
        <w:rPr>
          <w:rFonts w:ascii="Bookman Old Style" w:hAnsi="Bookman Old Style"/>
        </w:rPr>
      </w:pPr>
    </w:p>
    <w:p w:rsidR="008F715D" w:rsidRDefault="008F715D" w:rsidP="008F715D">
      <w:pPr>
        <w:pStyle w:val="Default"/>
        <w:jc w:val="both"/>
        <w:rPr>
          <w:rFonts w:ascii="Bookman Old Style" w:hAnsi="Bookman Old Style"/>
        </w:rPr>
      </w:pPr>
    </w:p>
    <w:p w:rsidR="008F715D" w:rsidRDefault="008F715D" w:rsidP="008F715D">
      <w:pPr>
        <w:pStyle w:val="Default"/>
        <w:jc w:val="both"/>
        <w:rPr>
          <w:rFonts w:ascii="Bookman Old Style" w:hAnsi="Bookman Old Style"/>
        </w:rPr>
      </w:pPr>
    </w:p>
    <w:p w:rsidR="008F715D" w:rsidRDefault="008F715D" w:rsidP="008F715D">
      <w:pPr>
        <w:pStyle w:val="Default"/>
        <w:jc w:val="both"/>
        <w:rPr>
          <w:rFonts w:ascii="Bookman Old Style" w:hAnsi="Bookman Old Style"/>
        </w:rPr>
      </w:pPr>
    </w:p>
    <w:p w:rsidR="008F715D" w:rsidRPr="00B75EA4" w:rsidRDefault="008F715D" w:rsidP="008F715D">
      <w:pPr>
        <w:pStyle w:val="Titre3"/>
        <w:ind w:firstLine="0"/>
        <w:rPr>
          <w:b/>
          <w:bCs/>
          <w:i/>
          <w:iCs/>
          <w:color w:val="0000FF"/>
          <w:sz w:val="24"/>
        </w:rPr>
      </w:pPr>
      <w:bookmarkStart w:id="250" w:name="_Toc462990854"/>
      <w:r>
        <w:rPr>
          <w:b/>
          <w:bCs/>
          <w:i/>
          <w:iCs/>
          <w:color w:val="0000FF"/>
          <w:sz w:val="24"/>
        </w:rPr>
        <w:t>I</w:t>
      </w:r>
      <w:r w:rsidRPr="00B75EA4">
        <w:rPr>
          <w:b/>
          <w:bCs/>
          <w:i/>
          <w:iCs/>
          <w:color w:val="0000FF"/>
          <w:sz w:val="24"/>
        </w:rPr>
        <w:t>I.1</w:t>
      </w:r>
      <w:r>
        <w:rPr>
          <w:b/>
          <w:bCs/>
          <w:i/>
          <w:iCs/>
          <w:color w:val="0000FF"/>
          <w:sz w:val="24"/>
        </w:rPr>
        <w:t>9</w:t>
      </w:r>
      <w:r w:rsidRPr="00B75EA4">
        <w:rPr>
          <w:b/>
          <w:bCs/>
          <w:i/>
          <w:iCs/>
          <w:color w:val="0000FF"/>
          <w:sz w:val="24"/>
        </w:rPr>
        <w:t>.3. Les capitaux propres et intermédiation financière</w:t>
      </w:r>
      <w:bookmarkEnd w:id="250"/>
      <w:r w:rsidRPr="00B75EA4">
        <w:rPr>
          <w:b/>
          <w:bCs/>
          <w:i/>
          <w:iCs/>
          <w:color w:val="0000FF"/>
          <w:sz w:val="24"/>
        </w:rPr>
        <w:t xml:space="preserve"> </w:t>
      </w:r>
    </w:p>
    <w:p w:rsidR="008F715D" w:rsidRPr="00CC6609" w:rsidRDefault="008F715D" w:rsidP="008F715D">
      <w:pPr>
        <w:pStyle w:val="Corpsdetexte2"/>
        <w:spacing w:line="240" w:lineRule="auto"/>
        <w:rPr>
          <w:bCs/>
          <w:color w:val="000000"/>
          <w:u w:val="single"/>
        </w:rPr>
      </w:pPr>
    </w:p>
    <w:p w:rsidR="008F715D" w:rsidRPr="00244224" w:rsidRDefault="008F715D" w:rsidP="008F715D">
      <w:pPr>
        <w:pStyle w:val="Corpsdetexte2"/>
        <w:spacing w:line="240" w:lineRule="auto"/>
        <w:rPr>
          <w:b/>
          <w:color w:val="000000"/>
        </w:rPr>
      </w:pPr>
      <w:r w:rsidRPr="00244224">
        <w:rPr>
          <w:b/>
          <w:color w:val="000000"/>
        </w:rPr>
        <w:t xml:space="preserve">         Evolution des ressources et des emplois en milliards de FCFA</w:t>
      </w:r>
    </w:p>
    <w:tbl>
      <w:tblPr>
        <w:tblW w:w="7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1826"/>
        <w:gridCol w:w="1985"/>
        <w:gridCol w:w="1859"/>
      </w:tblGrid>
      <w:tr w:rsidR="008F715D" w:rsidRPr="00CC6609" w:rsidTr="002105A0">
        <w:trPr>
          <w:jc w:val="center"/>
        </w:trPr>
        <w:tc>
          <w:tcPr>
            <w:tcW w:w="2303" w:type="dxa"/>
            <w:shd w:val="clear" w:color="auto" w:fill="auto"/>
          </w:tcPr>
          <w:p w:rsidR="008F715D" w:rsidRPr="001F4B85" w:rsidRDefault="008F715D" w:rsidP="002105A0">
            <w:pPr>
              <w:pStyle w:val="Corpsdetexte2"/>
              <w:spacing w:line="240" w:lineRule="auto"/>
              <w:rPr>
                <w:b/>
                <w:color w:val="000000"/>
              </w:rPr>
            </w:pPr>
            <w:r w:rsidRPr="001F4B85">
              <w:rPr>
                <w:b/>
                <w:color w:val="000000"/>
              </w:rPr>
              <w:t xml:space="preserve">     </w:t>
            </w:r>
          </w:p>
        </w:tc>
        <w:tc>
          <w:tcPr>
            <w:tcW w:w="1826" w:type="dxa"/>
            <w:shd w:val="clear" w:color="auto" w:fill="auto"/>
          </w:tcPr>
          <w:p w:rsidR="008F715D" w:rsidRPr="001F4B85" w:rsidRDefault="008F715D" w:rsidP="002105A0">
            <w:pPr>
              <w:pStyle w:val="Corpsdetexte2"/>
              <w:spacing w:line="240" w:lineRule="auto"/>
              <w:jc w:val="center"/>
              <w:rPr>
                <w:b/>
                <w:i/>
                <w:iCs/>
              </w:rPr>
            </w:pPr>
            <w:r w:rsidRPr="001F4B85">
              <w:rPr>
                <w:b/>
                <w:i/>
                <w:iCs/>
              </w:rPr>
              <w:t>juin 2015</w:t>
            </w:r>
          </w:p>
        </w:tc>
        <w:tc>
          <w:tcPr>
            <w:tcW w:w="1985" w:type="dxa"/>
            <w:shd w:val="clear" w:color="auto" w:fill="auto"/>
          </w:tcPr>
          <w:p w:rsidR="008F715D" w:rsidRPr="001F4B85" w:rsidRDefault="008F715D" w:rsidP="002105A0">
            <w:pPr>
              <w:pStyle w:val="Corpsdetexte2"/>
              <w:spacing w:line="240" w:lineRule="auto"/>
              <w:jc w:val="center"/>
              <w:rPr>
                <w:b/>
                <w:i/>
                <w:iCs/>
              </w:rPr>
            </w:pPr>
            <w:r w:rsidRPr="001F4B85">
              <w:rPr>
                <w:b/>
                <w:i/>
                <w:iCs/>
              </w:rPr>
              <w:t>juin 2016</w:t>
            </w:r>
          </w:p>
        </w:tc>
        <w:tc>
          <w:tcPr>
            <w:tcW w:w="1859" w:type="dxa"/>
            <w:shd w:val="clear" w:color="auto" w:fill="auto"/>
          </w:tcPr>
          <w:p w:rsidR="008F715D" w:rsidRPr="001F4B85" w:rsidRDefault="008F715D" w:rsidP="002105A0">
            <w:pPr>
              <w:pStyle w:val="Corpsdetexte2"/>
              <w:spacing w:line="240" w:lineRule="auto"/>
              <w:jc w:val="center"/>
              <w:rPr>
                <w:b/>
                <w:i/>
                <w:iCs/>
              </w:rPr>
            </w:pPr>
            <w:r w:rsidRPr="001F4B85">
              <w:rPr>
                <w:b/>
                <w:i/>
                <w:iCs/>
              </w:rPr>
              <w:t>Variation en %</w:t>
            </w:r>
          </w:p>
        </w:tc>
      </w:tr>
      <w:tr w:rsidR="008F715D" w:rsidRPr="00CC6609" w:rsidTr="002105A0">
        <w:trPr>
          <w:jc w:val="center"/>
        </w:trPr>
        <w:tc>
          <w:tcPr>
            <w:tcW w:w="2303" w:type="dxa"/>
          </w:tcPr>
          <w:p w:rsidR="008F715D" w:rsidRPr="00CC6609" w:rsidRDefault="008F715D" w:rsidP="002105A0">
            <w:pPr>
              <w:pStyle w:val="Corpsdetexte2"/>
              <w:spacing w:line="240" w:lineRule="auto"/>
              <w:jc w:val="center"/>
              <w:rPr>
                <w:color w:val="000000"/>
              </w:rPr>
            </w:pPr>
            <w:r w:rsidRPr="00CC6609">
              <w:rPr>
                <w:color w:val="000000"/>
              </w:rPr>
              <w:t>Fonds propres</w:t>
            </w:r>
          </w:p>
        </w:tc>
        <w:tc>
          <w:tcPr>
            <w:tcW w:w="1826" w:type="dxa"/>
          </w:tcPr>
          <w:p w:rsidR="008F715D" w:rsidRPr="00CC6609" w:rsidRDefault="008F715D" w:rsidP="002105A0">
            <w:pPr>
              <w:pStyle w:val="Corpsdetexte2"/>
              <w:spacing w:line="240" w:lineRule="auto"/>
              <w:jc w:val="center"/>
              <w:rPr>
                <w:b/>
              </w:rPr>
            </w:pPr>
            <w:r w:rsidRPr="00CC6609">
              <w:t>5,11</w:t>
            </w:r>
          </w:p>
        </w:tc>
        <w:tc>
          <w:tcPr>
            <w:tcW w:w="1985" w:type="dxa"/>
          </w:tcPr>
          <w:p w:rsidR="008F715D" w:rsidRPr="00CC6609" w:rsidRDefault="008F715D" w:rsidP="002105A0">
            <w:pPr>
              <w:pStyle w:val="Corpsdetexte2"/>
              <w:spacing w:line="240" w:lineRule="auto"/>
              <w:jc w:val="center"/>
              <w:rPr>
                <w:b/>
              </w:rPr>
            </w:pPr>
            <w:r w:rsidRPr="00CC6609">
              <w:t>3,5</w:t>
            </w:r>
          </w:p>
        </w:tc>
        <w:tc>
          <w:tcPr>
            <w:tcW w:w="1859" w:type="dxa"/>
          </w:tcPr>
          <w:p w:rsidR="008F715D" w:rsidRPr="00CC6609" w:rsidRDefault="008F715D" w:rsidP="002105A0">
            <w:pPr>
              <w:pStyle w:val="Corpsdetexte2"/>
              <w:spacing w:line="240" w:lineRule="auto"/>
              <w:jc w:val="center"/>
              <w:rPr>
                <w:b/>
              </w:rPr>
            </w:pPr>
            <w:r w:rsidRPr="00CC6609">
              <w:t>-31,50</w:t>
            </w:r>
          </w:p>
        </w:tc>
      </w:tr>
      <w:tr w:rsidR="008F715D" w:rsidRPr="00CC6609" w:rsidTr="002105A0">
        <w:trPr>
          <w:jc w:val="center"/>
        </w:trPr>
        <w:tc>
          <w:tcPr>
            <w:tcW w:w="2303" w:type="dxa"/>
          </w:tcPr>
          <w:p w:rsidR="008F715D" w:rsidRPr="00CC6609" w:rsidRDefault="008F715D" w:rsidP="002105A0">
            <w:pPr>
              <w:pStyle w:val="Corpsdetexte2"/>
              <w:spacing w:line="240" w:lineRule="auto"/>
              <w:jc w:val="center"/>
              <w:rPr>
                <w:color w:val="000000"/>
              </w:rPr>
            </w:pPr>
            <w:r w:rsidRPr="00CC6609">
              <w:rPr>
                <w:color w:val="000000"/>
              </w:rPr>
              <w:t>Encours de dépôts</w:t>
            </w:r>
          </w:p>
        </w:tc>
        <w:tc>
          <w:tcPr>
            <w:tcW w:w="1826" w:type="dxa"/>
          </w:tcPr>
          <w:p w:rsidR="008F715D" w:rsidRPr="00CC6609" w:rsidRDefault="008F715D" w:rsidP="002105A0">
            <w:pPr>
              <w:pStyle w:val="Corpsdetexte2"/>
              <w:spacing w:line="240" w:lineRule="auto"/>
              <w:jc w:val="center"/>
              <w:rPr>
                <w:b/>
              </w:rPr>
            </w:pPr>
            <w:r w:rsidRPr="00CC6609">
              <w:t>34,85</w:t>
            </w:r>
          </w:p>
        </w:tc>
        <w:tc>
          <w:tcPr>
            <w:tcW w:w="1985" w:type="dxa"/>
          </w:tcPr>
          <w:p w:rsidR="008F715D" w:rsidRPr="00CC6609" w:rsidRDefault="008F715D" w:rsidP="002105A0">
            <w:pPr>
              <w:pStyle w:val="Corpsdetexte2"/>
              <w:spacing w:line="240" w:lineRule="auto"/>
              <w:jc w:val="center"/>
              <w:rPr>
                <w:b/>
              </w:rPr>
            </w:pPr>
            <w:r w:rsidRPr="00CC6609">
              <w:t>20,18</w:t>
            </w:r>
          </w:p>
        </w:tc>
        <w:tc>
          <w:tcPr>
            <w:tcW w:w="1859" w:type="dxa"/>
          </w:tcPr>
          <w:p w:rsidR="008F715D" w:rsidRPr="00CC6609" w:rsidRDefault="008F715D" w:rsidP="002105A0">
            <w:pPr>
              <w:pStyle w:val="Corpsdetexte2"/>
              <w:spacing w:line="240" w:lineRule="auto"/>
              <w:jc w:val="center"/>
              <w:rPr>
                <w:b/>
              </w:rPr>
            </w:pPr>
            <w:r w:rsidRPr="00CC6609">
              <w:t>-42,09</w:t>
            </w:r>
          </w:p>
        </w:tc>
      </w:tr>
      <w:tr w:rsidR="008F715D" w:rsidRPr="00CC6609" w:rsidTr="002105A0">
        <w:trPr>
          <w:jc w:val="center"/>
        </w:trPr>
        <w:tc>
          <w:tcPr>
            <w:tcW w:w="2303" w:type="dxa"/>
          </w:tcPr>
          <w:p w:rsidR="008F715D" w:rsidRPr="00CC6609" w:rsidRDefault="008F715D" w:rsidP="002105A0">
            <w:pPr>
              <w:pStyle w:val="Corpsdetexte2"/>
              <w:spacing w:line="240" w:lineRule="auto"/>
              <w:jc w:val="center"/>
              <w:rPr>
                <w:color w:val="000000"/>
              </w:rPr>
            </w:pPr>
            <w:r w:rsidRPr="00CC6609">
              <w:rPr>
                <w:color w:val="000000"/>
              </w:rPr>
              <w:t>Encours de crédits</w:t>
            </w:r>
          </w:p>
        </w:tc>
        <w:tc>
          <w:tcPr>
            <w:tcW w:w="1826" w:type="dxa"/>
          </w:tcPr>
          <w:p w:rsidR="008F715D" w:rsidRPr="00CC6609" w:rsidRDefault="008F715D" w:rsidP="002105A0">
            <w:pPr>
              <w:pStyle w:val="Corpsdetexte2"/>
              <w:spacing w:line="240" w:lineRule="auto"/>
              <w:jc w:val="center"/>
              <w:rPr>
                <w:b/>
              </w:rPr>
            </w:pPr>
            <w:r w:rsidRPr="00CC6609">
              <w:t>23,12</w:t>
            </w:r>
          </w:p>
        </w:tc>
        <w:tc>
          <w:tcPr>
            <w:tcW w:w="1985" w:type="dxa"/>
          </w:tcPr>
          <w:p w:rsidR="008F715D" w:rsidRPr="00CC6609" w:rsidRDefault="008F715D" w:rsidP="002105A0">
            <w:pPr>
              <w:pStyle w:val="Corpsdetexte2"/>
              <w:spacing w:line="240" w:lineRule="auto"/>
              <w:jc w:val="center"/>
              <w:rPr>
                <w:b/>
              </w:rPr>
            </w:pPr>
            <w:r w:rsidRPr="00CC6609">
              <w:t>19,17</w:t>
            </w:r>
          </w:p>
        </w:tc>
        <w:tc>
          <w:tcPr>
            <w:tcW w:w="1859" w:type="dxa"/>
          </w:tcPr>
          <w:p w:rsidR="008F715D" w:rsidRPr="00CC6609" w:rsidRDefault="008F715D" w:rsidP="002105A0">
            <w:pPr>
              <w:pStyle w:val="Corpsdetexte2"/>
              <w:spacing w:line="240" w:lineRule="auto"/>
              <w:jc w:val="center"/>
              <w:rPr>
                <w:b/>
              </w:rPr>
            </w:pPr>
            <w:r w:rsidRPr="00CC6609">
              <w:t>-17,08</w:t>
            </w:r>
          </w:p>
        </w:tc>
      </w:tr>
    </w:tbl>
    <w:p w:rsidR="008F715D" w:rsidRPr="00244224" w:rsidRDefault="008F715D" w:rsidP="008F715D">
      <w:pPr>
        <w:pStyle w:val="Corpsdetexte2"/>
        <w:tabs>
          <w:tab w:val="left" w:pos="7650"/>
        </w:tabs>
        <w:spacing w:line="240" w:lineRule="auto"/>
        <w:ind w:firstLine="708"/>
        <w:rPr>
          <w:b/>
          <w:sz w:val="20"/>
          <w:szCs w:val="20"/>
        </w:rPr>
      </w:pPr>
      <w:r w:rsidRPr="00244224">
        <w:rPr>
          <w:b/>
          <w:color w:val="000000"/>
          <w:sz w:val="20"/>
          <w:szCs w:val="20"/>
          <w:u w:val="single"/>
        </w:rPr>
        <w:t>Source</w:t>
      </w:r>
      <w:r w:rsidRPr="00244224">
        <w:rPr>
          <w:b/>
          <w:color w:val="000000"/>
          <w:sz w:val="20"/>
          <w:szCs w:val="20"/>
        </w:rPr>
        <w:t> :</w:t>
      </w:r>
      <w:r w:rsidRPr="00244224">
        <w:rPr>
          <w:color w:val="000000"/>
          <w:sz w:val="20"/>
          <w:szCs w:val="20"/>
        </w:rPr>
        <w:t xml:space="preserve"> EMF/Cellule Microfinance</w:t>
      </w:r>
      <w:r w:rsidRPr="00244224">
        <w:rPr>
          <w:color w:val="000000"/>
          <w:sz w:val="20"/>
          <w:szCs w:val="20"/>
        </w:rPr>
        <w:tab/>
      </w:r>
    </w:p>
    <w:p w:rsidR="008F715D" w:rsidRDefault="008F715D" w:rsidP="008F715D">
      <w:pPr>
        <w:pStyle w:val="Corpsdetexte2"/>
        <w:spacing w:line="240" w:lineRule="auto"/>
        <w:rPr>
          <w:rFonts w:ascii="Bookman Old Style" w:hAnsi="Bookman Old Style" w:cs="Arial"/>
          <w:bCs/>
          <w:color w:val="000000"/>
          <w:u w:val="single"/>
        </w:rPr>
      </w:pPr>
    </w:p>
    <w:p w:rsidR="008F715D" w:rsidRPr="00640800" w:rsidRDefault="008F715D" w:rsidP="008F715D">
      <w:pPr>
        <w:pStyle w:val="Default"/>
        <w:jc w:val="both"/>
        <w:rPr>
          <w:rFonts w:ascii="Times New Roman" w:hAnsi="Times New Roman" w:cs="Times New Roman"/>
          <w:b/>
        </w:rPr>
      </w:pPr>
      <w:r w:rsidRPr="00640800">
        <w:rPr>
          <w:rFonts w:ascii="Times New Roman" w:hAnsi="Times New Roman" w:cs="Times New Roman"/>
          <w:b/>
        </w:rPr>
        <w:t>Les fonds propres</w:t>
      </w:r>
    </w:p>
    <w:p w:rsidR="008F715D" w:rsidRPr="00CC6609" w:rsidRDefault="008F715D" w:rsidP="008F715D">
      <w:pPr>
        <w:pStyle w:val="Default"/>
        <w:jc w:val="both"/>
        <w:rPr>
          <w:rFonts w:ascii="Times New Roman" w:hAnsi="Times New Roman" w:cs="Times New Roman"/>
          <w:b/>
          <w:u w:val="single"/>
        </w:rPr>
      </w:pPr>
    </w:p>
    <w:p w:rsidR="008F715D" w:rsidRPr="00CC6609" w:rsidRDefault="008F715D" w:rsidP="008F715D">
      <w:pPr>
        <w:pStyle w:val="Default"/>
        <w:jc w:val="both"/>
        <w:rPr>
          <w:rFonts w:ascii="Times New Roman" w:hAnsi="Times New Roman" w:cs="Times New Roman"/>
        </w:rPr>
      </w:pPr>
      <w:r w:rsidRPr="00CC6609">
        <w:rPr>
          <w:rFonts w:ascii="Times New Roman" w:hAnsi="Times New Roman" w:cs="Times New Roman"/>
        </w:rPr>
        <w:t>Les fonds propres des EMF établis à 3,5 milliards à fin juin 2016 ont diminué de 31,50%, suite à  la dégradation de la situation financière de quatre EMF de deuxième catégorie.</w:t>
      </w:r>
    </w:p>
    <w:p w:rsidR="008F715D" w:rsidRPr="00CC6609" w:rsidRDefault="008F715D" w:rsidP="008F715D">
      <w:pPr>
        <w:pStyle w:val="Default"/>
        <w:jc w:val="both"/>
        <w:rPr>
          <w:rFonts w:ascii="Times New Roman" w:hAnsi="Times New Roman" w:cs="Times New Roman"/>
        </w:rPr>
      </w:pPr>
    </w:p>
    <w:p w:rsidR="008F715D" w:rsidRPr="00CC6609" w:rsidRDefault="008F715D" w:rsidP="008F715D">
      <w:pPr>
        <w:pStyle w:val="Default"/>
        <w:jc w:val="both"/>
        <w:rPr>
          <w:rFonts w:ascii="Times New Roman" w:hAnsi="Times New Roman" w:cs="Times New Roman"/>
        </w:rPr>
      </w:pPr>
      <w:r w:rsidRPr="00CC6609">
        <w:rPr>
          <w:rFonts w:ascii="Times New Roman" w:hAnsi="Times New Roman" w:cs="Times New Roman"/>
          <w:noProof/>
          <w:bdr w:val="single" w:sz="4" w:space="0" w:color="auto"/>
        </w:rPr>
        <w:drawing>
          <wp:inline distT="0" distB="0" distL="0" distR="0">
            <wp:extent cx="4572000" cy="1943100"/>
            <wp:effectExtent l="19050" t="0" r="19050" b="0"/>
            <wp:docPr id="1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F715D" w:rsidRPr="00CC6609" w:rsidRDefault="008F715D" w:rsidP="008F715D">
      <w:pPr>
        <w:pStyle w:val="Corpsdetexte2"/>
        <w:spacing w:line="240" w:lineRule="auto"/>
        <w:rPr>
          <w:b/>
          <w:bCs/>
          <w:color w:val="000000"/>
        </w:rPr>
      </w:pPr>
    </w:p>
    <w:p w:rsidR="008F715D" w:rsidRPr="00CC6609" w:rsidRDefault="008F715D" w:rsidP="008F715D">
      <w:pPr>
        <w:pStyle w:val="Default"/>
        <w:jc w:val="both"/>
        <w:rPr>
          <w:rFonts w:ascii="Times New Roman" w:hAnsi="Times New Roman" w:cs="Times New Roman"/>
          <w:b/>
          <w:u w:val="single"/>
        </w:rPr>
      </w:pPr>
    </w:p>
    <w:p w:rsidR="008F715D" w:rsidRPr="00640800" w:rsidRDefault="008F715D" w:rsidP="008F715D">
      <w:pPr>
        <w:pStyle w:val="Default"/>
        <w:jc w:val="both"/>
        <w:rPr>
          <w:rFonts w:ascii="Times New Roman" w:hAnsi="Times New Roman" w:cs="Times New Roman"/>
          <w:b/>
        </w:rPr>
      </w:pPr>
      <w:r w:rsidRPr="00640800">
        <w:rPr>
          <w:rFonts w:ascii="Times New Roman" w:hAnsi="Times New Roman" w:cs="Times New Roman"/>
          <w:b/>
        </w:rPr>
        <w:lastRenderedPageBreak/>
        <w:t xml:space="preserve">Les activités d’intermédiation financière </w:t>
      </w:r>
    </w:p>
    <w:p w:rsidR="008F715D" w:rsidRPr="00CC6609" w:rsidRDefault="008F715D" w:rsidP="008F715D">
      <w:pPr>
        <w:pStyle w:val="Default"/>
        <w:jc w:val="both"/>
        <w:rPr>
          <w:rFonts w:ascii="Times New Roman" w:hAnsi="Times New Roman" w:cs="Times New Roman"/>
          <w:b/>
          <w:u w:val="single"/>
        </w:rPr>
      </w:pPr>
    </w:p>
    <w:p w:rsidR="008F715D" w:rsidRPr="00CC6609" w:rsidRDefault="008F715D" w:rsidP="008F715D">
      <w:pPr>
        <w:pStyle w:val="Default"/>
        <w:jc w:val="both"/>
        <w:rPr>
          <w:rFonts w:ascii="Times New Roman" w:hAnsi="Times New Roman" w:cs="Times New Roman"/>
          <w:color w:val="auto"/>
        </w:rPr>
      </w:pPr>
      <w:r w:rsidRPr="002205E6">
        <w:rPr>
          <w:rFonts w:ascii="Times New Roman" w:hAnsi="Times New Roman" w:cs="Times New Roman"/>
        </w:rPr>
        <w:t>Les activités d’intermédiation financière montrent la même tendance baissière avec une baisse des dépôts collectés et de l’encours des crédits. En effet, les  dépôts</w:t>
      </w:r>
      <w:r w:rsidRPr="002205E6">
        <w:rPr>
          <w:rFonts w:ascii="Times New Roman" w:hAnsi="Times New Roman" w:cs="Times New Roman"/>
          <w:b/>
        </w:rPr>
        <w:t xml:space="preserve"> </w:t>
      </w:r>
      <w:r w:rsidRPr="002205E6">
        <w:rPr>
          <w:rFonts w:ascii="Times New Roman" w:hAnsi="Times New Roman" w:cs="Times New Roman"/>
        </w:rPr>
        <w:t xml:space="preserve">collectés à fin juin 2016 se sont élevés  à 20,18 milliards de francs CFA, en baisse de 42% par rapport à juin 2015. Cette </w:t>
      </w:r>
      <w:r w:rsidRPr="002205E6">
        <w:rPr>
          <w:rFonts w:ascii="Times New Roman" w:hAnsi="Times New Roman" w:cs="Times New Roman"/>
          <w:color w:val="auto"/>
        </w:rPr>
        <w:t>performance est consécutive à la méfiance affichée par de nombreux usagers vis-à-vis du secteur, depuis l’annonce en septembre 2015 de la grande escroquerie de Bâtisseurs de Richesses SARL. La structure des dépôts n’a pas évolué avec une prépondérance des dépôts à vue.</w:t>
      </w:r>
    </w:p>
    <w:p w:rsidR="008F715D" w:rsidRPr="00CC6609" w:rsidRDefault="008F715D" w:rsidP="008F715D">
      <w:pPr>
        <w:pStyle w:val="Default"/>
        <w:jc w:val="both"/>
        <w:rPr>
          <w:rFonts w:ascii="Times New Roman" w:hAnsi="Times New Roman" w:cs="Times New Roman"/>
        </w:rPr>
      </w:pPr>
    </w:p>
    <w:p w:rsidR="008F715D" w:rsidRPr="00CC6609" w:rsidRDefault="008F715D" w:rsidP="008F715D">
      <w:pPr>
        <w:pStyle w:val="Default"/>
        <w:jc w:val="both"/>
        <w:rPr>
          <w:rFonts w:ascii="Times New Roman" w:hAnsi="Times New Roman" w:cs="Times New Roman"/>
        </w:rPr>
      </w:pPr>
    </w:p>
    <w:p w:rsidR="008F715D" w:rsidRPr="00CC6609" w:rsidRDefault="008F715D" w:rsidP="008F715D">
      <w:pPr>
        <w:pStyle w:val="Default"/>
        <w:jc w:val="both"/>
        <w:rPr>
          <w:rFonts w:ascii="Times New Roman" w:hAnsi="Times New Roman" w:cs="Times New Roman"/>
        </w:rPr>
      </w:pPr>
    </w:p>
    <w:p w:rsidR="008F715D" w:rsidRPr="00CC6609" w:rsidRDefault="008F715D" w:rsidP="008F715D">
      <w:pPr>
        <w:pStyle w:val="Default"/>
        <w:jc w:val="both"/>
        <w:rPr>
          <w:rFonts w:ascii="Times New Roman" w:hAnsi="Times New Roman" w:cs="Times New Roman"/>
        </w:rPr>
      </w:pPr>
      <w:r w:rsidRPr="00CC6609">
        <w:rPr>
          <w:rFonts w:ascii="Times New Roman" w:hAnsi="Times New Roman" w:cs="Times New Roman"/>
          <w:noProof/>
          <w:bdr w:val="single" w:sz="4" w:space="0" w:color="auto"/>
        </w:rPr>
        <w:drawing>
          <wp:inline distT="0" distB="0" distL="0" distR="0">
            <wp:extent cx="4572000" cy="2143125"/>
            <wp:effectExtent l="19050" t="0" r="19050" b="0"/>
            <wp:docPr id="13"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F715D" w:rsidRPr="00CC6609" w:rsidRDefault="008F715D" w:rsidP="008F715D">
      <w:pPr>
        <w:pStyle w:val="Default"/>
        <w:jc w:val="both"/>
        <w:rPr>
          <w:rFonts w:ascii="Times New Roman" w:hAnsi="Times New Roman" w:cs="Times New Roman"/>
        </w:rPr>
      </w:pPr>
    </w:p>
    <w:p w:rsidR="008F715D" w:rsidRPr="00CC6609" w:rsidRDefault="008F715D" w:rsidP="008F715D">
      <w:pPr>
        <w:pStyle w:val="Default"/>
        <w:jc w:val="both"/>
        <w:rPr>
          <w:rFonts w:ascii="Times New Roman" w:hAnsi="Times New Roman" w:cs="Times New Roman"/>
        </w:rPr>
      </w:pPr>
      <w:r w:rsidRPr="00CC6609">
        <w:rPr>
          <w:rFonts w:ascii="Times New Roman" w:hAnsi="Times New Roman" w:cs="Times New Roman"/>
        </w:rPr>
        <w:t xml:space="preserve">Les crédits à la clientèle, se sont chiffrés à 19,17 milliards de francs CFA contre 23 milliards en juin 2015, soit un  repli de 17%.  Les principaux produits </w:t>
      </w:r>
      <w:r>
        <w:rPr>
          <w:rFonts w:ascii="Times New Roman" w:hAnsi="Times New Roman" w:cs="Times New Roman"/>
        </w:rPr>
        <w:t xml:space="preserve">distribués </w:t>
      </w:r>
      <w:r w:rsidRPr="00CC6609">
        <w:rPr>
          <w:rFonts w:ascii="Times New Roman" w:hAnsi="Times New Roman" w:cs="Times New Roman"/>
        </w:rPr>
        <w:t xml:space="preserve">ont </w:t>
      </w:r>
      <w:r>
        <w:rPr>
          <w:rFonts w:ascii="Times New Roman" w:hAnsi="Times New Roman" w:cs="Times New Roman"/>
        </w:rPr>
        <w:t xml:space="preserve">été </w:t>
      </w:r>
      <w:r w:rsidRPr="00CC6609">
        <w:rPr>
          <w:rFonts w:ascii="Times New Roman" w:hAnsi="Times New Roman" w:cs="Times New Roman"/>
        </w:rPr>
        <w:t>le crédit de consommation ou social, le crédit immobilier, le  crédit PME/PMI, le crédit destiné au financement des Activités Génératrices de Revenus et le crédit artisanal.</w:t>
      </w:r>
    </w:p>
    <w:p w:rsidR="008F715D" w:rsidRPr="0094662C" w:rsidRDefault="008F715D" w:rsidP="008F715D">
      <w:pPr>
        <w:pStyle w:val="Default"/>
        <w:ind w:firstLine="708"/>
        <w:jc w:val="both"/>
        <w:rPr>
          <w:rFonts w:ascii="Bookman Old Style" w:hAnsi="Bookman Old Style"/>
        </w:rPr>
      </w:pPr>
    </w:p>
    <w:p w:rsidR="008F715D" w:rsidRPr="00393CDB" w:rsidRDefault="008F715D" w:rsidP="008F715D">
      <w:pPr>
        <w:pStyle w:val="Titre2"/>
        <w:rPr>
          <w:b/>
          <w:bCs/>
          <w:i w:val="0"/>
          <w:color w:val="0000FF"/>
          <w:sz w:val="24"/>
        </w:rPr>
      </w:pPr>
      <w:bookmarkStart w:id="251" w:name="_Toc462990855"/>
      <w:r>
        <w:rPr>
          <w:b/>
          <w:bCs/>
          <w:i w:val="0"/>
          <w:color w:val="0000FF"/>
          <w:sz w:val="24"/>
        </w:rPr>
        <w:t>II</w:t>
      </w:r>
      <w:r w:rsidRPr="00393CDB">
        <w:rPr>
          <w:b/>
          <w:bCs/>
          <w:i w:val="0"/>
          <w:color w:val="0000FF"/>
          <w:sz w:val="24"/>
        </w:rPr>
        <w:t>.</w:t>
      </w:r>
      <w:r>
        <w:rPr>
          <w:b/>
          <w:bCs/>
          <w:i w:val="0"/>
          <w:color w:val="0000FF"/>
          <w:sz w:val="24"/>
        </w:rPr>
        <w:t>20</w:t>
      </w:r>
      <w:r w:rsidRPr="00393CDB">
        <w:rPr>
          <w:b/>
          <w:bCs/>
          <w:i w:val="0"/>
          <w:color w:val="0000FF"/>
          <w:sz w:val="24"/>
        </w:rPr>
        <w:t xml:space="preserve"> LE SECTEUR ASSURANCE</w:t>
      </w:r>
      <w:bookmarkEnd w:id="247"/>
      <w:bookmarkEnd w:id="251"/>
    </w:p>
    <w:p w:rsidR="008F715D" w:rsidRPr="00E02A03" w:rsidRDefault="008F715D" w:rsidP="008F715D"/>
    <w:p w:rsidR="008F715D" w:rsidRDefault="008F715D" w:rsidP="008F715D">
      <w:pPr>
        <w:jc w:val="both"/>
        <w:rPr>
          <w:color w:val="000000" w:themeColor="text1"/>
        </w:rPr>
      </w:pPr>
      <w:r w:rsidRPr="002205E6">
        <w:rPr>
          <w:color w:val="000000" w:themeColor="text1"/>
        </w:rPr>
        <w:t>Au cours du deuxième trimestre 2016, l’activité du secteur a poursuivi son mouvement de baisse déjà observé depuis le quatrième trimestre de l’année 2015. En effet, le contexte économique marqué par un ralentissement de la croissance a contribué au recul du volume global des primes collectées par les compagnies d’assurance et ce, malgré l’amélioration continue de la branche Vie qui demeure néanmoins modeste. En conséquence, le chiffre d’affaires consolidé a chuté de 6,5% pour se situer à 55,56 milliards de FCFA au deuxième trimestre 2016 contre 59,42 milliards à la même période sur l’exercice précédent.</w:t>
      </w:r>
    </w:p>
    <w:p w:rsidR="008F715D" w:rsidRPr="00E70576" w:rsidRDefault="008F715D" w:rsidP="008F715D">
      <w:pPr>
        <w:jc w:val="both"/>
        <w:rPr>
          <w:color w:val="000000" w:themeColor="text1"/>
        </w:rPr>
      </w:pPr>
    </w:p>
    <w:p w:rsidR="008F715D" w:rsidRPr="00E70576" w:rsidRDefault="008F715D" w:rsidP="008F715D">
      <w:pPr>
        <w:jc w:val="both"/>
        <w:rPr>
          <w:b/>
          <w:color w:val="000000" w:themeColor="text1"/>
        </w:rPr>
      </w:pPr>
      <w:r w:rsidRPr="00E70576">
        <w:rPr>
          <w:b/>
          <w:i/>
          <w:color w:val="000000" w:themeColor="text1"/>
        </w:rPr>
        <w:t xml:space="preserve">Evolution du chiffre d’affaires du secteur Assurance aux </w:t>
      </w:r>
      <w:r>
        <w:rPr>
          <w:b/>
          <w:i/>
          <w:color w:val="000000" w:themeColor="text1"/>
        </w:rPr>
        <w:t>2èmes</w:t>
      </w:r>
      <w:r w:rsidRPr="00E70576">
        <w:rPr>
          <w:b/>
          <w:i/>
          <w:color w:val="000000" w:themeColor="text1"/>
        </w:rPr>
        <w:t xml:space="preserve"> trimestres 2015 et 2016</w:t>
      </w:r>
    </w:p>
    <w:tbl>
      <w:tblPr>
        <w:tblW w:w="9366" w:type="dxa"/>
        <w:tblInd w:w="60" w:type="dxa"/>
        <w:tblBorders>
          <w:top w:val="single" w:sz="12" w:space="0" w:color="538ED5"/>
          <w:left w:val="single" w:sz="12" w:space="0" w:color="538ED5"/>
          <w:bottom w:val="single" w:sz="12" w:space="0" w:color="538ED5"/>
          <w:right w:val="single" w:sz="12" w:space="0" w:color="538ED5"/>
          <w:insideH w:val="single" w:sz="12" w:space="0" w:color="538ED5"/>
          <w:insideV w:val="single" w:sz="12" w:space="0" w:color="538ED5"/>
        </w:tblBorders>
        <w:tblCellMar>
          <w:left w:w="70" w:type="dxa"/>
          <w:right w:w="70" w:type="dxa"/>
        </w:tblCellMar>
        <w:tblLook w:val="04A0"/>
      </w:tblPr>
      <w:tblGrid>
        <w:gridCol w:w="2278"/>
        <w:gridCol w:w="1560"/>
        <w:gridCol w:w="1559"/>
        <w:gridCol w:w="1843"/>
        <w:gridCol w:w="2126"/>
      </w:tblGrid>
      <w:tr w:rsidR="008F715D" w:rsidRPr="00473E7D" w:rsidTr="002105A0">
        <w:trPr>
          <w:trHeight w:val="330"/>
        </w:trPr>
        <w:tc>
          <w:tcPr>
            <w:tcW w:w="2278" w:type="dxa"/>
            <w:shd w:val="clear" w:color="auto" w:fill="auto"/>
            <w:hideMark/>
          </w:tcPr>
          <w:p w:rsidR="008F715D" w:rsidRPr="005D514F" w:rsidRDefault="008F715D" w:rsidP="002105A0">
            <w:pPr>
              <w:rPr>
                <w:bCs/>
                <w:color w:val="000000" w:themeColor="text1"/>
              </w:rPr>
            </w:pPr>
            <w:r w:rsidRPr="005D514F">
              <w:rPr>
                <w:bCs/>
                <w:color w:val="000000" w:themeColor="text1"/>
              </w:rPr>
              <w:t>en milliards de FCFA</w:t>
            </w:r>
          </w:p>
        </w:tc>
        <w:tc>
          <w:tcPr>
            <w:tcW w:w="3119" w:type="dxa"/>
            <w:gridSpan w:val="2"/>
            <w:tcBorders>
              <w:right w:val="single" w:sz="12" w:space="0" w:color="1F497D" w:themeColor="text2"/>
            </w:tcBorders>
            <w:shd w:val="clear" w:color="auto" w:fill="auto"/>
            <w:hideMark/>
          </w:tcPr>
          <w:p w:rsidR="008F715D" w:rsidRPr="005D514F" w:rsidRDefault="008F715D" w:rsidP="002105A0">
            <w:pPr>
              <w:jc w:val="center"/>
              <w:rPr>
                <w:bCs/>
                <w:color w:val="000000" w:themeColor="text1"/>
              </w:rPr>
            </w:pPr>
            <w:r w:rsidRPr="005D514F">
              <w:rPr>
                <w:bCs/>
                <w:color w:val="000000" w:themeColor="text1"/>
              </w:rPr>
              <w:t>Premier semestre</w:t>
            </w:r>
          </w:p>
        </w:tc>
        <w:tc>
          <w:tcPr>
            <w:tcW w:w="1843" w:type="dxa"/>
            <w:vMerge w:val="restart"/>
            <w:tcBorders>
              <w:top w:val="single" w:sz="12" w:space="0" w:color="1F497D" w:themeColor="text2"/>
              <w:left w:val="single" w:sz="12" w:space="0" w:color="1F497D" w:themeColor="text2"/>
              <w:right w:val="single" w:sz="12" w:space="0" w:color="1F497D" w:themeColor="text2"/>
            </w:tcBorders>
            <w:shd w:val="clear" w:color="auto" w:fill="auto"/>
            <w:hideMark/>
          </w:tcPr>
          <w:p w:rsidR="008F715D" w:rsidRPr="00C07619" w:rsidRDefault="008F715D" w:rsidP="002105A0">
            <w:pPr>
              <w:jc w:val="center"/>
              <w:rPr>
                <w:b/>
                <w:bCs/>
                <w:color w:val="000000" w:themeColor="text1"/>
              </w:rPr>
            </w:pPr>
            <w:r w:rsidRPr="00C07619">
              <w:rPr>
                <w:b/>
                <w:bCs/>
                <w:color w:val="000000" w:themeColor="text1"/>
              </w:rPr>
              <w:t>Var %</w:t>
            </w:r>
          </w:p>
        </w:tc>
        <w:tc>
          <w:tcPr>
            <w:tcW w:w="2126" w:type="dxa"/>
            <w:vMerge w:val="restart"/>
            <w:tcBorders>
              <w:top w:val="single" w:sz="12" w:space="0" w:color="1F497D" w:themeColor="text2"/>
              <w:left w:val="single" w:sz="12" w:space="0" w:color="1F497D" w:themeColor="text2"/>
              <w:right w:val="single" w:sz="12" w:space="0" w:color="1F497D" w:themeColor="text2"/>
            </w:tcBorders>
            <w:shd w:val="clear" w:color="auto" w:fill="auto"/>
            <w:hideMark/>
          </w:tcPr>
          <w:p w:rsidR="008F715D" w:rsidRPr="00473E7D" w:rsidRDefault="008F715D" w:rsidP="002105A0">
            <w:pPr>
              <w:jc w:val="center"/>
              <w:rPr>
                <w:bCs/>
                <w:color w:val="000000" w:themeColor="text1"/>
              </w:rPr>
            </w:pPr>
            <w:r>
              <w:rPr>
                <w:b/>
                <w:bCs/>
                <w:color w:val="000000" w:themeColor="text1"/>
              </w:rPr>
              <w:t>Parts</w:t>
            </w:r>
          </w:p>
        </w:tc>
      </w:tr>
      <w:tr w:rsidR="008F715D" w:rsidRPr="00473E7D" w:rsidTr="002105A0">
        <w:trPr>
          <w:trHeight w:val="330"/>
        </w:trPr>
        <w:tc>
          <w:tcPr>
            <w:tcW w:w="2278" w:type="dxa"/>
            <w:shd w:val="clear" w:color="auto" w:fill="auto"/>
            <w:noWrap/>
            <w:vAlign w:val="bottom"/>
            <w:hideMark/>
          </w:tcPr>
          <w:p w:rsidR="008F715D" w:rsidRPr="00C07619" w:rsidRDefault="008F715D" w:rsidP="002105A0">
            <w:pPr>
              <w:rPr>
                <w:b/>
                <w:bCs/>
                <w:color w:val="000000" w:themeColor="text1"/>
              </w:rPr>
            </w:pPr>
            <w:r w:rsidRPr="00C07619">
              <w:rPr>
                <w:b/>
                <w:bCs/>
                <w:color w:val="000000" w:themeColor="text1"/>
              </w:rPr>
              <w:t>Branches</w:t>
            </w:r>
          </w:p>
        </w:tc>
        <w:tc>
          <w:tcPr>
            <w:tcW w:w="1560" w:type="dxa"/>
            <w:shd w:val="clear" w:color="auto" w:fill="auto"/>
            <w:vAlign w:val="bottom"/>
            <w:hideMark/>
          </w:tcPr>
          <w:p w:rsidR="008F715D" w:rsidRPr="00C07619" w:rsidRDefault="008F715D" w:rsidP="002105A0">
            <w:pPr>
              <w:jc w:val="center"/>
              <w:rPr>
                <w:b/>
                <w:bCs/>
                <w:color w:val="000000" w:themeColor="text1"/>
              </w:rPr>
            </w:pPr>
            <w:r>
              <w:rPr>
                <w:b/>
                <w:bCs/>
                <w:color w:val="000000" w:themeColor="text1"/>
              </w:rPr>
              <w:t>2015</w:t>
            </w:r>
          </w:p>
        </w:tc>
        <w:tc>
          <w:tcPr>
            <w:tcW w:w="1559" w:type="dxa"/>
            <w:tcBorders>
              <w:right w:val="single" w:sz="12" w:space="0" w:color="1F497D" w:themeColor="text2"/>
            </w:tcBorders>
            <w:shd w:val="clear" w:color="auto" w:fill="auto"/>
            <w:vAlign w:val="bottom"/>
            <w:hideMark/>
          </w:tcPr>
          <w:p w:rsidR="008F715D" w:rsidRPr="00C07619" w:rsidRDefault="008F715D" w:rsidP="002105A0">
            <w:pPr>
              <w:jc w:val="center"/>
              <w:rPr>
                <w:b/>
                <w:bCs/>
                <w:color w:val="000000" w:themeColor="text1"/>
              </w:rPr>
            </w:pPr>
            <w:r>
              <w:rPr>
                <w:b/>
                <w:bCs/>
                <w:color w:val="000000" w:themeColor="text1"/>
              </w:rPr>
              <w:t>20</w:t>
            </w:r>
            <w:r w:rsidRPr="00C07619">
              <w:rPr>
                <w:b/>
                <w:bCs/>
                <w:color w:val="000000" w:themeColor="text1"/>
              </w:rPr>
              <w:t>16</w:t>
            </w:r>
          </w:p>
        </w:tc>
        <w:tc>
          <w:tcPr>
            <w:tcW w:w="1843" w:type="dxa"/>
            <w:vMerge/>
            <w:tcBorders>
              <w:left w:val="single" w:sz="12" w:space="0" w:color="1F497D" w:themeColor="text2"/>
              <w:bottom w:val="single" w:sz="12" w:space="0" w:color="1F497D" w:themeColor="text2"/>
              <w:right w:val="single" w:sz="12" w:space="0" w:color="1F497D" w:themeColor="text2"/>
            </w:tcBorders>
            <w:shd w:val="clear" w:color="auto" w:fill="auto"/>
            <w:vAlign w:val="bottom"/>
            <w:hideMark/>
          </w:tcPr>
          <w:p w:rsidR="008F715D" w:rsidRPr="00C07619" w:rsidRDefault="008F715D" w:rsidP="002105A0">
            <w:pPr>
              <w:rPr>
                <w:b/>
                <w:bCs/>
                <w:color w:val="000000" w:themeColor="text1"/>
              </w:rPr>
            </w:pPr>
          </w:p>
        </w:tc>
        <w:tc>
          <w:tcPr>
            <w:tcW w:w="2126" w:type="dxa"/>
            <w:vMerge/>
            <w:tcBorders>
              <w:left w:val="single" w:sz="12" w:space="0" w:color="1F497D" w:themeColor="text2"/>
              <w:bottom w:val="single" w:sz="12" w:space="0" w:color="1F497D" w:themeColor="text2"/>
              <w:right w:val="single" w:sz="12" w:space="0" w:color="1F497D" w:themeColor="text2"/>
            </w:tcBorders>
            <w:shd w:val="clear" w:color="auto" w:fill="auto"/>
            <w:vAlign w:val="bottom"/>
            <w:hideMark/>
          </w:tcPr>
          <w:p w:rsidR="008F715D" w:rsidRPr="008F0DA7" w:rsidRDefault="008F715D" w:rsidP="002105A0">
            <w:pPr>
              <w:jc w:val="center"/>
              <w:rPr>
                <w:b/>
                <w:bCs/>
                <w:color w:val="000000" w:themeColor="text1"/>
              </w:rPr>
            </w:pPr>
          </w:p>
        </w:tc>
      </w:tr>
      <w:tr w:rsidR="008F715D" w:rsidRPr="00473E7D" w:rsidTr="002105A0">
        <w:trPr>
          <w:trHeight w:val="405"/>
        </w:trPr>
        <w:tc>
          <w:tcPr>
            <w:tcW w:w="2278" w:type="dxa"/>
            <w:shd w:val="clear" w:color="auto" w:fill="auto"/>
            <w:vAlign w:val="bottom"/>
            <w:hideMark/>
          </w:tcPr>
          <w:p w:rsidR="008F715D" w:rsidRPr="00C07619" w:rsidRDefault="008F715D" w:rsidP="002105A0">
            <w:pPr>
              <w:rPr>
                <w:b/>
                <w:bCs/>
                <w:color w:val="000000" w:themeColor="text1"/>
              </w:rPr>
            </w:pPr>
            <w:r w:rsidRPr="00C07619">
              <w:rPr>
                <w:b/>
                <w:bCs/>
                <w:color w:val="000000" w:themeColor="text1"/>
              </w:rPr>
              <w:t>Non Vie</w:t>
            </w:r>
          </w:p>
        </w:tc>
        <w:tc>
          <w:tcPr>
            <w:tcW w:w="1560" w:type="dxa"/>
            <w:shd w:val="clear" w:color="auto" w:fill="auto"/>
            <w:vAlign w:val="bottom"/>
            <w:hideMark/>
          </w:tcPr>
          <w:p w:rsidR="008F715D" w:rsidRPr="00C07619" w:rsidRDefault="008F715D" w:rsidP="002105A0">
            <w:pPr>
              <w:jc w:val="center"/>
              <w:rPr>
                <w:bCs/>
                <w:color w:val="000000" w:themeColor="text1"/>
              </w:rPr>
            </w:pPr>
            <w:r>
              <w:rPr>
                <w:bCs/>
                <w:color w:val="000000" w:themeColor="text1"/>
              </w:rPr>
              <w:t>51,04</w:t>
            </w:r>
          </w:p>
        </w:tc>
        <w:tc>
          <w:tcPr>
            <w:tcW w:w="1559" w:type="dxa"/>
            <w:shd w:val="clear" w:color="auto" w:fill="auto"/>
            <w:vAlign w:val="bottom"/>
            <w:hideMark/>
          </w:tcPr>
          <w:p w:rsidR="008F715D" w:rsidRPr="00C07619" w:rsidRDefault="008F715D" w:rsidP="002105A0">
            <w:pPr>
              <w:jc w:val="center"/>
              <w:rPr>
                <w:bCs/>
                <w:color w:val="000000" w:themeColor="text1"/>
              </w:rPr>
            </w:pPr>
            <w:r>
              <w:rPr>
                <w:bCs/>
                <w:color w:val="000000" w:themeColor="text1"/>
              </w:rPr>
              <w:t>46,67</w:t>
            </w:r>
          </w:p>
        </w:tc>
        <w:tc>
          <w:tcPr>
            <w:tcW w:w="1843" w:type="dxa"/>
            <w:tcBorders>
              <w:top w:val="single" w:sz="12" w:space="0" w:color="1F497D" w:themeColor="text2"/>
            </w:tcBorders>
            <w:shd w:val="clear" w:color="auto" w:fill="auto"/>
            <w:noWrap/>
            <w:vAlign w:val="bottom"/>
            <w:hideMark/>
          </w:tcPr>
          <w:p w:rsidR="008F715D" w:rsidRPr="00C07619" w:rsidRDefault="008F715D" w:rsidP="002105A0">
            <w:pPr>
              <w:jc w:val="center"/>
              <w:rPr>
                <w:color w:val="000000" w:themeColor="text1"/>
              </w:rPr>
            </w:pPr>
            <w:r>
              <w:rPr>
                <w:color w:val="000000" w:themeColor="text1"/>
              </w:rPr>
              <w:t>-8,6</w:t>
            </w:r>
          </w:p>
        </w:tc>
        <w:tc>
          <w:tcPr>
            <w:tcW w:w="2126" w:type="dxa"/>
            <w:tcBorders>
              <w:top w:val="single" w:sz="12" w:space="0" w:color="1F497D" w:themeColor="text2"/>
            </w:tcBorders>
            <w:shd w:val="clear" w:color="auto" w:fill="auto"/>
            <w:noWrap/>
            <w:vAlign w:val="bottom"/>
            <w:hideMark/>
          </w:tcPr>
          <w:p w:rsidR="008F715D" w:rsidRPr="00473E7D" w:rsidRDefault="008F715D" w:rsidP="002105A0">
            <w:pPr>
              <w:jc w:val="center"/>
              <w:rPr>
                <w:color w:val="000000" w:themeColor="text1"/>
              </w:rPr>
            </w:pPr>
            <w:r>
              <w:rPr>
                <w:color w:val="000000" w:themeColor="text1"/>
              </w:rPr>
              <w:t>84</w:t>
            </w:r>
            <w:r w:rsidRPr="00473E7D">
              <w:rPr>
                <w:color w:val="000000" w:themeColor="text1"/>
              </w:rPr>
              <w:t>%</w:t>
            </w:r>
          </w:p>
        </w:tc>
      </w:tr>
      <w:tr w:rsidR="008F715D" w:rsidRPr="00473E7D" w:rsidTr="002105A0">
        <w:trPr>
          <w:trHeight w:val="345"/>
        </w:trPr>
        <w:tc>
          <w:tcPr>
            <w:tcW w:w="2278" w:type="dxa"/>
            <w:shd w:val="clear" w:color="auto" w:fill="auto"/>
            <w:vAlign w:val="bottom"/>
            <w:hideMark/>
          </w:tcPr>
          <w:p w:rsidR="008F715D" w:rsidRPr="00C07619" w:rsidRDefault="008F715D" w:rsidP="002105A0">
            <w:pPr>
              <w:rPr>
                <w:b/>
                <w:bCs/>
                <w:color w:val="000000" w:themeColor="text1"/>
              </w:rPr>
            </w:pPr>
            <w:r w:rsidRPr="00C07619">
              <w:rPr>
                <w:b/>
                <w:bCs/>
                <w:color w:val="000000" w:themeColor="text1"/>
              </w:rPr>
              <w:t>Vie</w:t>
            </w:r>
          </w:p>
        </w:tc>
        <w:tc>
          <w:tcPr>
            <w:tcW w:w="1560" w:type="dxa"/>
            <w:shd w:val="clear" w:color="auto" w:fill="auto"/>
            <w:noWrap/>
            <w:vAlign w:val="bottom"/>
            <w:hideMark/>
          </w:tcPr>
          <w:p w:rsidR="008F715D" w:rsidRPr="00C07619" w:rsidRDefault="008F715D" w:rsidP="002105A0">
            <w:pPr>
              <w:jc w:val="center"/>
              <w:rPr>
                <w:color w:val="000000" w:themeColor="text1"/>
              </w:rPr>
            </w:pPr>
            <w:r>
              <w:rPr>
                <w:color w:val="000000" w:themeColor="text1"/>
              </w:rPr>
              <w:t>8,38</w:t>
            </w:r>
          </w:p>
        </w:tc>
        <w:tc>
          <w:tcPr>
            <w:tcW w:w="1559" w:type="dxa"/>
            <w:shd w:val="clear" w:color="auto" w:fill="auto"/>
            <w:noWrap/>
            <w:vAlign w:val="bottom"/>
            <w:hideMark/>
          </w:tcPr>
          <w:p w:rsidR="008F715D" w:rsidRPr="00C07619" w:rsidRDefault="008F715D" w:rsidP="002105A0">
            <w:pPr>
              <w:jc w:val="center"/>
              <w:rPr>
                <w:color w:val="000000" w:themeColor="text1"/>
              </w:rPr>
            </w:pPr>
            <w:r>
              <w:rPr>
                <w:color w:val="000000" w:themeColor="text1"/>
              </w:rPr>
              <w:t>8,90</w:t>
            </w:r>
          </w:p>
        </w:tc>
        <w:tc>
          <w:tcPr>
            <w:tcW w:w="1843" w:type="dxa"/>
            <w:shd w:val="clear" w:color="auto" w:fill="auto"/>
            <w:noWrap/>
            <w:vAlign w:val="bottom"/>
            <w:hideMark/>
          </w:tcPr>
          <w:p w:rsidR="008F715D" w:rsidRPr="00C07619" w:rsidRDefault="008F715D" w:rsidP="002105A0">
            <w:pPr>
              <w:jc w:val="center"/>
              <w:rPr>
                <w:color w:val="000000" w:themeColor="text1"/>
              </w:rPr>
            </w:pPr>
            <w:r>
              <w:rPr>
                <w:color w:val="000000" w:themeColor="text1"/>
              </w:rPr>
              <w:t>6,2</w:t>
            </w:r>
          </w:p>
        </w:tc>
        <w:tc>
          <w:tcPr>
            <w:tcW w:w="2126" w:type="dxa"/>
            <w:shd w:val="clear" w:color="auto" w:fill="auto"/>
            <w:noWrap/>
            <w:vAlign w:val="bottom"/>
            <w:hideMark/>
          </w:tcPr>
          <w:p w:rsidR="008F715D" w:rsidRPr="00473E7D" w:rsidRDefault="008F715D" w:rsidP="002105A0">
            <w:pPr>
              <w:jc w:val="center"/>
              <w:rPr>
                <w:color w:val="000000" w:themeColor="text1"/>
              </w:rPr>
            </w:pPr>
            <w:r>
              <w:rPr>
                <w:color w:val="000000" w:themeColor="text1"/>
              </w:rPr>
              <w:t>16</w:t>
            </w:r>
            <w:r w:rsidRPr="00473E7D">
              <w:rPr>
                <w:color w:val="000000" w:themeColor="text1"/>
              </w:rPr>
              <w:t>%</w:t>
            </w:r>
          </w:p>
        </w:tc>
      </w:tr>
      <w:tr w:rsidR="008F715D" w:rsidRPr="00473E7D" w:rsidTr="002105A0">
        <w:trPr>
          <w:trHeight w:val="315"/>
        </w:trPr>
        <w:tc>
          <w:tcPr>
            <w:tcW w:w="2278" w:type="dxa"/>
            <w:shd w:val="clear" w:color="auto" w:fill="auto"/>
            <w:vAlign w:val="bottom"/>
            <w:hideMark/>
          </w:tcPr>
          <w:p w:rsidR="008F715D" w:rsidRPr="00C07619" w:rsidRDefault="008F715D" w:rsidP="002105A0">
            <w:pPr>
              <w:rPr>
                <w:b/>
                <w:bCs/>
                <w:color w:val="000000" w:themeColor="text1"/>
              </w:rPr>
            </w:pPr>
            <w:r w:rsidRPr="00C07619">
              <w:rPr>
                <w:b/>
                <w:bCs/>
                <w:color w:val="000000" w:themeColor="text1"/>
              </w:rPr>
              <w:t xml:space="preserve">Total </w:t>
            </w:r>
          </w:p>
        </w:tc>
        <w:tc>
          <w:tcPr>
            <w:tcW w:w="1560" w:type="dxa"/>
            <w:shd w:val="clear" w:color="auto" w:fill="auto"/>
            <w:vAlign w:val="bottom"/>
            <w:hideMark/>
          </w:tcPr>
          <w:p w:rsidR="008F715D" w:rsidRPr="00C07619" w:rsidRDefault="008F715D" w:rsidP="002105A0">
            <w:pPr>
              <w:jc w:val="center"/>
              <w:rPr>
                <w:b/>
                <w:bCs/>
                <w:color w:val="000000" w:themeColor="text1"/>
              </w:rPr>
            </w:pPr>
            <w:r>
              <w:rPr>
                <w:b/>
                <w:bCs/>
                <w:color w:val="000000" w:themeColor="text1"/>
              </w:rPr>
              <w:t>59,42</w:t>
            </w:r>
          </w:p>
        </w:tc>
        <w:tc>
          <w:tcPr>
            <w:tcW w:w="1559" w:type="dxa"/>
            <w:shd w:val="clear" w:color="auto" w:fill="auto"/>
            <w:vAlign w:val="bottom"/>
            <w:hideMark/>
          </w:tcPr>
          <w:p w:rsidR="008F715D" w:rsidRPr="00C07619" w:rsidRDefault="008F715D" w:rsidP="002105A0">
            <w:pPr>
              <w:jc w:val="center"/>
              <w:rPr>
                <w:b/>
                <w:bCs/>
                <w:color w:val="000000" w:themeColor="text1"/>
              </w:rPr>
            </w:pPr>
            <w:r>
              <w:rPr>
                <w:b/>
                <w:bCs/>
                <w:color w:val="000000" w:themeColor="text1"/>
              </w:rPr>
              <w:t>55,56</w:t>
            </w:r>
          </w:p>
        </w:tc>
        <w:tc>
          <w:tcPr>
            <w:tcW w:w="1843" w:type="dxa"/>
            <w:shd w:val="clear" w:color="auto" w:fill="auto"/>
            <w:noWrap/>
            <w:vAlign w:val="bottom"/>
            <w:hideMark/>
          </w:tcPr>
          <w:p w:rsidR="008F715D" w:rsidRPr="00C07619" w:rsidRDefault="008F715D" w:rsidP="002105A0">
            <w:pPr>
              <w:jc w:val="center"/>
              <w:rPr>
                <w:b/>
                <w:bCs/>
                <w:color w:val="000000" w:themeColor="text1"/>
              </w:rPr>
            </w:pPr>
            <w:r>
              <w:rPr>
                <w:b/>
                <w:bCs/>
                <w:color w:val="000000" w:themeColor="text1"/>
              </w:rPr>
              <w:t>-6,5</w:t>
            </w:r>
          </w:p>
        </w:tc>
        <w:tc>
          <w:tcPr>
            <w:tcW w:w="2126" w:type="dxa"/>
            <w:shd w:val="clear" w:color="auto" w:fill="auto"/>
            <w:noWrap/>
            <w:vAlign w:val="bottom"/>
            <w:hideMark/>
          </w:tcPr>
          <w:p w:rsidR="008F715D" w:rsidRPr="00473E7D" w:rsidRDefault="008F715D" w:rsidP="002105A0">
            <w:pPr>
              <w:jc w:val="center"/>
              <w:rPr>
                <w:bCs/>
                <w:color w:val="000000" w:themeColor="text1"/>
              </w:rPr>
            </w:pPr>
            <w:r w:rsidRPr="00473E7D">
              <w:rPr>
                <w:bCs/>
                <w:color w:val="000000" w:themeColor="text1"/>
              </w:rPr>
              <w:t>100%</w:t>
            </w:r>
          </w:p>
        </w:tc>
      </w:tr>
    </w:tbl>
    <w:p w:rsidR="008F715D" w:rsidRPr="00244224" w:rsidRDefault="008F715D" w:rsidP="008F715D">
      <w:pPr>
        <w:jc w:val="both"/>
        <w:rPr>
          <w:color w:val="000000" w:themeColor="text1"/>
          <w:sz w:val="20"/>
          <w:szCs w:val="20"/>
        </w:rPr>
      </w:pPr>
      <w:r w:rsidRPr="00244224">
        <w:rPr>
          <w:b/>
          <w:color w:val="000000" w:themeColor="text1"/>
          <w:sz w:val="20"/>
          <w:szCs w:val="20"/>
          <w:u w:val="single"/>
        </w:rPr>
        <w:t>Source</w:t>
      </w:r>
      <w:r w:rsidRPr="00244224">
        <w:rPr>
          <w:b/>
          <w:color w:val="000000" w:themeColor="text1"/>
          <w:sz w:val="20"/>
          <w:szCs w:val="20"/>
        </w:rPr>
        <w:t> :</w:t>
      </w:r>
      <w:r w:rsidRPr="00244224">
        <w:rPr>
          <w:color w:val="000000" w:themeColor="text1"/>
          <w:sz w:val="20"/>
          <w:szCs w:val="20"/>
        </w:rPr>
        <w:t xml:space="preserve"> Compagnies d’assurances</w:t>
      </w:r>
    </w:p>
    <w:p w:rsidR="008F715D" w:rsidRDefault="008F715D" w:rsidP="008F715D">
      <w:pPr>
        <w:rPr>
          <w:sz w:val="18"/>
          <w:szCs w:val="18"/>
        </w:rPr>
      </w:pPr>
    </w:p>
    <w:p w:rsidR="008F715D" w:rsidRDefault="008F715D" w:rsidP="008F715D">
      <w:pPr>
        <w:rPr>
          <w:sz w:val="18"/>
          <w:szCs w:val="18"/>
        </w:rPr>
      </w:pPr>
    </w:p>
    <w:p w:rsidR="008F715D" w:rsidRPr="00B75EA4" w:rsidRDefault="008F715D" w:rsidP="008F715D">
      <w:pPr>
        <w:pStyle w:val="Titre3"/>
        <w:ind w:firstLine="0"/>
        <w:rPr>
          <w:b/>
          <w:bCs/>
          <w:i/>
          <w:iCs/>
          <w:color w:val="0000FF"/>
          <w:sz w:val="24"/>
        </w:rPr>
      </w:pPr>
      <w:bookmarkStart w:id="252" w:name="_Toc462990856"/>
      <w:r>
        <w:rPr>
          <w:b/>
          <w:bCs/>
          <w:i/>
          <w:iCs/>
          <w:color w:val="0000FF"/>
          <w:sz w:val="24"/>
        </w:rPr>
        <w:lastRenderedPageBreak/>
        <w:t>I</w:t>
      </w:r>
      <w:r w:rsidRPr="00B75EA4">
        <w:rPr>
          <w:b/>
          <w:bCs/>
          <w:i/>
          <w:iCs/>
          <w:color w:val="0000FF"/>
          <w:sz w:val="24"/>
        </w:rPr>
        <w:t>I</w:t>
      </w:r>
      <w:r>
        <w:rPr>
          <w:b/>
          <w:bCs/>
          <w:i/>
          <w:iCs/>
          <w:color w:val="0000FF"/>
          <w:sz w:val="24"/>
        </w:rPr>
        <w:t>.20</w:t>
      </w:r>
      <w:r w:rsidRPr="00B75EA4">
        <w:rPr>
          <w:b/>
          <w:bCs/>
          <w:i/>
          <w:iCs/>
          <w:color w:val="0000FF"/>
          <w:sz w:val="24"/>
        </w:rPr>
        <w:t>.1. La Branche Non Vie</w:t>
      </w:r>
      <w:bookmarkEnd w:id="252"/>
    </w:p>
    <w:p w:rsidR="008F715D" w:rsidRDefault="008F715D" w:rsidP="008F715D">
      <w:pPr>
        <w:jc w:val="both"/>
      </w:pPr>
    </w:p>
    <w:p w:rsidR="008F715D" w:rsidRPr="00E70576" w:rsidRDefault="008F715D" w:rsidP="008F715D">
      <w:pPr>
        <w:jc w:val="both"/>
        <w:rPr>
          <w:color w:val="000000" w:themeColor="text1"/>
        </w:rPr>
      </w:pPr>
      <w:r w:rsidRPr="00E70576">
        <w:rPr>
          <w:color w:val="000000" w:themeColor="text1"/>
        </w:rPr>
        <w:t>Au cours de la période sous revue, l</w:t>
      </w:r>
      <w:r>
        <w:rPr>
          <w:color w:val="000000" w:themeColor="text1"/>
        </w:rPr>
        <w:t xml:space="preserve">’activité a enregistré une baisse de 6,5% à 55,56 milliards de FCFA de son </w:t>
      </w:r>
      <w:r w:rsidRPr="00E70576">
        <w:rPr>
          <w:color w:val="000000" w:themeColor="text1"/>
        </w:rPr>
        <w:t xml:space="preserve"> chiffre d’affaires </w:t>
      </w:r>
      <w:r>
        <w:rPr>
          <w:color w:val="000000" w:themeColor="text1"/>
        </w:rPr>
        <w:t xml:space="preserve">contre 59,42 milliards </w:t>
      </w:r>
      <w:r w:rsidRPr="00E70576">
        <w:rPr>
          <w:color w:val="000000" w:themeColor="text1"/>
        </w:rPr>
        <w:t>à la même période en 201</w:t>
      </w:r>
      <w:r>
        <w:rPr>
          <w:color w:val="000000" w:themeColor="text1"/>
        </w:rPr>
        <w:t>5, sous l’effet des contre-performances d</w:t>
      </w:r>
      <w:r w:rsidRPr="00E70576">
        <w:rPr>
          <w:color w:val="000000" w:themeColor="text1"/>
        </w:rPr>
        <w:t xml:space="preserve">es </w:t>
      </w:r>
      <w:r>
        <w:rPr>
          <w:color w:val="000000" w:themeColor="text1"/>
        </w:rPr>
        <w:t>produits à rendements garantis notamment,</w:t>
      </w:r>
      <w:r w:rsidRPr="00E70576">
        <w:rPr>
          <w:color w:val="000000" w:themeColor="text1"/>
        </w:rPr>
        <w:t xml:space="preserve"> « l’Automobile » (-</w:t>
      </w:r>
      <w:r>
        <w:rPr>
          <w:color w:val="000000" w:themeColor="text1"/>
        </w:rPr>
        <w:t>8,07</w:t>
      </w:r>
      <w:r w:rsidRPr="00E70576">
        <w:rPr>
          <w:color w:val="000000" w:themeColor="text1"/>
        </w:rPr>
        <w:t xml:space="preserve">% à </w:t>
      </w:r>
      <w:r>
        <w:rPr>
          <w:color w:val="000000" w:themeColor="text1"/>
        </w:rPr>
        <w:t>11,19</w:t>
      </w:r>
      <w:r w:rsidRPr="00E70576">
        <w:rPr>
          <w:color w:val="000000" w:themeColor="text1"/>
        </w:rPr>
        <w:t xml:space="preserve"> milliards), </w:t>
      </w:r>
      <w:r>
        <w:rPr>
          <w:color w:val="000000" w:themeColor="text1"/>
        </w:rPr>
        <w:t xml:space="preserve">« Total Transports » </w:t>
      </w:r>
      <w:r w:rsidRPr="00E70576">
        <w:rPr>
          <w:color w:val="000000" w:themeColor="text1"/>
        </w:rPr>
        <w:t>(-</w:t>
      </w:r>
      <w:r>
        <w:rPr>
          <w:color w:val="000000" w:themeColor="text1"/>
        </w:rPr>
        <w:t>20,3</w:t>
      </w:r>
      <w:r w:rsidRPr="00E70576">
        <w:rPr>
          <w:color w:val="000000" w:themeColor="text1"/>
        </w:rPr>
        <w:t xml:space="preserve">% à </w:t>
      </w:r>
      <w:r>
        <w:rPr>
          <w:color w:val="000000" w:themeColor="text1"/>
        </w:rPr>
        <w:t>8,06 milliards),</w:t>
      </w:r>
      <w:r w:rsidRPr="001D5138">
        <w:rPr>
          <w:color w:val="000000" w:themeColor="text1"/>
        </w:rPr>
        <w:t xml:space="preserve"> </w:t>
      </w:r>
      <w:r>
        <w:rPr>
          <w:color w:val="000000" w:themeColor="text1"/>
        </w:rPr>
        <w:t>« l’Incendie » (-9,4% à 7,91 milliards, en dépit de la bonne tenue du produit « Maladie/Assistance »</w:t>
      </w:r>
      <w:r w:rsidRPr="001D5138">
        <w:rPr>
          <w:color w:val="000000" w:themeColor="text1"/>
        </w:rPr>
        <w:t xml:space="preserve"> </w:t>
      </w:r>
      <w:r>
        <w:rPr>
          <w:color w:val="000000" w:themeColor="text1"/>
        </w:rPr>
        <w:t>qui a enregistré une hausse de 3,7% à 9,02 milliards.</w:t>
      </w:r>
      <w:r w:rsidRPr="00E70576">
        <w:rPr>
          <w:color w:val="000000" w:themeColor="text1"/>
        </w:rPr>
        <w:t xml:space="preserve"> Cette branche </w:t>
      </w:r>
      <w:r>
        <w:rPr>
          <w:color w:val="000000" w:themeColor="text1"/>
        </w:rPr>
        <w:t>représente 84</w:t>
      </w:r>
      <w:r w:rsidRPr="00E70576">
        <w:rPr>
          <w:color w:val="000000" w:themeColor="text1"/>
        </w:rPr>
        <w:t>% du total des émissions du secteur.</w:t>
      </w:r>
    </w:p>
    <w:p w:rsidR="008F715D" w:rsidRDefault="008F715D" w:rsidP="008F715D">
      <w:pPr>
        <w:jc w:val="both"/>
        <w:rPr>
          <w:b/>
          <w:i/>
          <w:color w:val="000000" w:themeColor="text1"/>
        </w:rPr>
      </w:pPr>
    </w:p>
    <w:p w:rsidR="008F715D" w:rsidRDefault="008F715D" w:rsidP="008F715D">
      <w:pPr>
        <w:jc w:val="both"/>
        <w:rPr>
          <w:b/>
          <w:i/>
          <w:color w:val="000000" w:themeColor="text1"/>
        </w:rPr>
      </w:pPr>
    </w:p>
    <w:p w:rsidR="008F715D" w:rsidRDefault="008F715D" w:rsidP="008F715D">
      <w:pPr>
        <w:jc w:val="both"/>
        <w:rPr>
          <w:b/>
          <w:i/>
          <w:color w:val="000000" w:themeColor="text1"/>
        </w:rPr>
      </w:pPr>
    </w:p>
    <w:p w:rsidR="008F715D" w:rsidRPr="00657B23" w:rsidRDefault="008F715D" w:rsidP="008F715D">
      <w:pPr>
        <w:jc w:val="both"/>
        <w:rPr>
          <w:i/>
          <w:color w:val="000000" w:themeColor="text1"/>
        </w:rPr>
      </w:pPr>
      <w:r w:rsidRPr="00657B23">
        <w:rPr>
          <w:b/>
          <w:i/>
          <w:color w:val="000000" w:themeColor="text1"/>
        </w:rPr>
        <w:t xml:space="preserve">Evolution des cotisations par segment aux </w:t>
      </w:r>
      <w:r>
        <w:rPr>
          <w:b/>
          <w:i/>
          <w:color w:val="000000" w:themeColor="text1"/>
        </w:rPr>
        <w:t>2èmes</w:t>
      </w:r>
      <w:r w:rsidRPr="00657B23">
        <w:rPr>
          <w:b/>
          <w:i/>
          <w:color w:val="000000" w:themeColor="text1"/>
        </w:rPr>
        <w:t xml:space="preserve"> trimestres 2016 (en milliards de FCFA</w:t>
      </w:r>
      <w:r w:rsidRPr="00657B23">
        <w:rPr>
          <w:i/>
          <w:color w:val="000000" w:themeColor="text1"/>
        </w:rPr>
        <w:t>)</w:t>
      </w:r>
    </w:p>
    <w:p w:rsidR="008F715D" w:rsidRDefault="008F715D" w:rsidP="008F715D">
      <w:pPr>
        <w:jc w:val="both"/>
        <w:rPr>
          <w:i/>
          <w:color w:val="000000" w:themeColor="text1"/>
        </w:rPr>
      </w:pPr>
      <w:r w:rsidRPr="00DA4551">
        <w:rPr>
          <w:i/>
          <w:noProof/>
          <w:color w:val="000000" w:themeColor="text1"/>
        </w:rPr>
        <w:drawing>
          <wp:inline distT="0" distB="0" distL="0" distR="0">
            <wp:extent cx="5686425" cy="1685925"/>
            <wp:effectExtent l="0" t="0" r="9525" b="9525"/>
            <wp:docPr id="2"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F715D" w:rsidRDefault="008F715D" w:rsidP="008F715D">
      <w:pPr>
        <w:jc w:val="both"/>
        <w:rPr>
          <w:b/>
          <w:i/>
          <w:color w:val="000000" w:themeColor="text1"/>
        </w:rPr>
      </w:pPr>
    </w:p>
    <w:p w:rsidR="008F715D" w:rsidRPr="00B75EA4" w:rsidRDefault="008F715D" w:rsidP="008F715D">
      <w:pPr>
        <w:jc w:val="both"/>
        <w:rPr>
          <w:b/>
          <w:i/>
          <w:color w:val="000000" w:themeColor="text1"/>
        </w:rPr>
      </w:pPr>
    </w:p>
    <w:p w:rsidR="008F715D" w:rsidRPr="00B75EA4" w:rsidRDefault="008F715D" w:rsidP="008F715D">
      <w:pPr>
        <w:pStyle w:val="Titre3"/>
        <w:ind w:firstLine="0"/>
        <w:rPr>
          <w:b/>
          <w:bCs/>
          <w:i/>
          <w:iCs/>
          <w:color w:val="0000FF"/>
          <w:sz w:val="24"/>
        </w:rPr>
      </w:pPr>
      <w:bookmarkStart w:id="253" w:name="_Toc462990857"/>
      <w:r>
        <w:rPr>
          <w:b/>
          <w:bCs/>
          <w:i/>
          <w:iCs/>
          <w:color w:val="0000FF"/>
          <w:sz w:val="24"/>
        </w:rPr>
        <w:t>I</w:t>
      </w:r>
      <w:r w:rsidRPr="00B75EA4">
        <w:rPr>
          <w:b/>
          <w:bCs/>
          <w:i/>
          <w:iCs/>
          <w:color w:val="0000FF"/>
          <w:sz w:val="24"/>
        </w:rPr>
        <w:t>I.19.2. La Branche Vie et Capitalisation</w:t>
      </w:r>
      <w:bookmarkEnd w:id="253"/>
    </w:p>
    <w:p w:rsidR="008F715D" w:rsidRDefault="008F715D" w:rsidP="008F715D">
      <w:pPr>
        <w:jc w:val="both"/>
        <w:rPr>
          <w:color w:val="000000" w:themeColor="text1"/>
        </w:rPr>
      </w:pPr>
    </w:p>
    <w:p w:rsidR="008F715D" w:rsidRDefault="008F715D" w:rsidP="008F715D">
      <w:pPr>
        <w:jc w:val="both"/>
        <w:rPr>
          <w:color w:val="000000" w:themeColor="text1"/>
        </w:rPr>
      </w:pPr>
      <w:r w:rsidRPr="00E70576">
        <w:rPr>
          <w:color w:val="000000" w:themeColor="text1"/>
        </w:rPr>
        <w:t xml:space="preserve">La Branche </w:t>
      </w:r>
      <w:r>
        <w:rPr>
          <w:color w:val="000000" w:themeColor="text1"/>
        </w:rPr>
        <w:t>couvre les produits suivants : capitalisation (Epargne retraite), décès et mixte. Cette branche représente 16% de l’encours des primes du secteur sur la période. Les émissions ont généré un c</w:t>
      </w:r>
      <w:r w:rsidRPr="00E70576">
        <w:rPr>
          <w:color w:val="000000" w:themeColor="text1"/>
        </w:rPr>
        <w:t>hiffre d’affaires</w:t>
      </w:r>
      <w:r>
        <w:rPr>
          <w:color w:val="000000" w:themeColor="text1"/>
        </w:rPr>
        <w:t>, en hausse de 6,2% à 8,90 milliards de FCFA au deuxième trimestre 2016</w:t>
      </w:r>
      <w:r w:rsidRPr="00E70576">
        <w:rPr>
          <w:color w:val="000000" w:themeColor="text1"/>
        </w:rPr>
        <w:t xml:space="preserve">, </w:t>
      </w:r>
      <w:r>
        <w:rPr>
          <w:color w:val="000000" w:themeColor="text1"/>
        </w:rPr>
        <w:t xml:space="preserve">en raison des souscriptions de nouveaux contrats </w:t>
      </w:r>
      <w:r w:rsidRPr="00E70576">
        <w:rPr>
          <w:color w:val="000000" w:themeColor="text1"/>
        </w:rPr>
        <w:t>sur les produits classiques : « </w:t>
      </w:r>
      <w:r>
        <w:rPr>
          <w:color w:val="000000" w:themeColor="text1"/>
        </w:rPr>
        <w:t>Capitalisation (</w:t>
      </w:r>
      <w:r w:rsidRPr="00E70576">
        <w:rPr>
          <w:color w:val="000000" w:themeColor="text1"/>
        </w:rPr>
        <w:t>Epargne-Retraite</w:t>
      </w:r>
      <w:r>
        <w:rPr>
          <w:color w:val="000000" w:themeColor="text1"/>
        </w:rPr>
        <w:t>)</w:t>
      </w:r>
      <w:r w:rsidRPr="00E70576">
        <w:rPr>
          <w:color w:val="000000" w:themeColor="text1"/>
        </w:rPr>
        <w:t> » (+</w:t>
      </w:r>
      <w:r>
        <w:rPr>
          <w:color w:val="000000" w:themeColor="text1"/>
        </w:rPr>
        <w:t>4,4</w:t>
      </w:r>
      <w:r w:rsidRPr="00E70576">
        <w:rPr>
          <w:color w:val="000000" w:themeColor="text1"/>
        </w:rPr>
        <w:t>% à 2,48 milliards de FCFA) et « Décès » (+15,8% à 2,78 milliards de FCFA).</w:t>
      </w:r>
    </w:p>
    <w:p w:rsidR="008F715D" w:rsidRPr="00E70576" w:rsidRDefault="008F715D" w:rsidP="008F715D">
      <w:pPr>
        <w:jc w:val="both"/>
        <w:rPr>
          <w:color w:val="000000" w:themeColor="text1"/>
        </w:rPr>
      </w:pPr>
      <w:r w:rsidRPr="00E70576">
        <w:rPr>
          <w:color w:val="000000" w:themeColor="text1"/>
        </w:rPr>
        <w:t xml:space="preserve"> </w:t>
      </w:r>
    </w:p>
    <w:p w:rsidR="008F715D" w:rsidRDefault="008F715D" w:rsidP="008F715D">
      <w:pPr>
        <w:jc w:val="both"/>
        <w:rPr>
          <w:b/>
          <w:i/>
          <w:color w:val="000000" w:themeColor="text1"/>
        </w:rPr>
      </w:pPr>
      <w:r w:rsidRPr="00E70576">
        <w:rPr>
          <w:b/>
          <w:i/>
          <w:color w:val="000000" w:themeColor="text1"/>
        </w:rPr>
        <w:t xml:space="preserve">Evolution du chiffre d’affaires aux </w:t>
      </w:r>
      <w:r>
        <w:rPr>
          <w:b/>
          <w:i/>
          <w:color w:val="000000" w:themeColor="text1"/>
        </w:rPr>
        <w:t>2èmes</w:t>
      </w:r>
      <w:r w:rsidRPr="00E70576">
        <w:rPr>
          <w:b/>
          <w:i/>
          <w:color w:val="000000" w:themeColor="text1"/>
        </w:rPr>
        <w:t xml:space="preserve"> trimestres 2016 (en milliards de FCFA)</w:t>
      </w:r>
    </w:p>
    <w:p w:rsidR="008F715D" w:rsidRDefault="008F715D" w:rsidP="008F715D">
      <w:pPr>
        <w:jc w:val="both"/>
        <w:rPr>
          <w:b/>
          <w:i/>
          <w:color w:val="000000" w:themeColor="text1"/>
        </w:rPr>
      </w:pPr>
      <w:r w:rsidRPr="008A3B14">
        <w:rPr>
          <w:b/>
          <w:i/>
          <w:noProof/>
          <w:color w:val="000000" w:themeColor="text1"/>
        </w:rPr>
        <w:drawing>
          <wp:inline distT="0" distB="0" distL="0" distR="0">
            <wp:extent cx="5772150" cy="1304925"/>
            <wp:effectExtent l="0" t="0" r="0" b="9525"/>
            <wp:docPr id="6"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F715D" w:rsidRDefault="008F715D" w:rsidP="008F715D">
      <w:pPr>
        <w:jc w:val="both"/>
        <w:rPr>
          <w:b/>
          <w:i/>
          <w:color w:val="000000" w:themeColor="text1"/>
        </w:rPr>
      </w:pPr>
    </w:p>
    <w:p w:rsidR="008F715D" w:rsidRPr="00E70576" w:rsidRDefault="008F715D" w:rsidP="008F715D">
      <w:pPr>
        <w:jc w:val="both"/>
        <w:rPr>
          <w:b/>
          <w:color w:val="000000" w:themeColor="text1"/>
        </w:rPr>
      </w:pPr>
      <w:r w:rsidRPr="00E70576">
        <w:rPr>
          <w:b/>
          <w:color w:val="000000" w:themeColor="text1"/>
        </w:rPr>
        <w:t>La Répartition des parts de marché par compagnie</w:t>
      </w:r>
    </w:p>
    <w:p w:rsidR="008F715D" w:rsidRDefault="008F715D" w:rsidP="008F715D">
      <w:pPr>
        <w:jc w:val="both"/>
        <w:rPr>
          <w:color w:val="000000" w:themeColor="text1"/>
        </w:rPr>
      </w:pPr>
    </w:p>
    <w:p w:rsidR="008F715D" w:rsidRDefault="008F715D" w:rsidP="008F715D">
      <w:pPr>
        <w:jc w:val="both"/>
        <w:rPr>
          <w:color w:val="000000" w:themeColor="text1"/>
        </w:rPr>
      </w:pPr>
      <w:r w:rsidRPr="002205E6">
        <w:rPr>
          <w:color w:val="000000" w:themeColor="text1"/>
        </w:rPr>
        <w:t>Les groupes (OGAR, NSIA et la Société AXA Assurance) se sont répartis l’essentiel des primes. Leur part de marché a représenté 76% du chiffre d’affaires du secteur.</w:t>
      </w:r>
    </w:p>
    <w:p w:rsidR="008F715D" w:rsidRDefault="008F715D" w:rsidP="008F715D">
      <w:pPr>
        <w:jc w:val="both"/>
        <w:rPr>
          <w:color w:val="000000" w:themeColor="text1"/>
        </w:rPr>
      </w:pPr>
      <w:r>
        <w:rPr>
          <w:color w:val="000000" w:themeColor="text1"/>
        </w:rPr>
        <w:lastRenderedPageBreak/>
        <w:t xml:space="preserve">    </w:t>
      </w:r>
      <w:r w:rsidRPr="0010118A">
        <w:rPr>
          <w:noProof/>
          <w:color w:val="000000" w:themeColor="text1"/>
        </w:rPr>
        <w:drawing>
          <wp:inline distT="0" distB="0" distL="0" distR="0">
            <wp:extent cx="2714625" cy="1666875"/>
            <wp:effectExtent l="19050" t="0" r="9525" b="0"/>
            <wp:docPr id="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color w:val="000000" w:themeColor="text1"/>
        </w:rPr>
        <w:t xml:space="preserve">  </w:t>
      </w:r>
      <w:r w:rsidRPr="0010118A">
        <w:rPr>
          <w:noProof/>
          <w:color w:val="000000" w:themeColor="text1"/>
        </w:rPr>
        <w:drawing>
          <wp:inline distT="0" distB="0" distL="0" distR="0">
            <wp:extent cx="2524125" cy="1647825"/>
            <wp:effectExtent l="19050" t="0" r="9525" b="0"/>
            <wp:docPr id="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F715D" w:rsidRDefault="008F715D" w:rsidP="008F715D">
      <w:pPr>
        <w:jc w:val="both"/>
        <w:rPr>
          <w:b/>
          <w:color w:val="1F497D" w:themeColor="text2"/>
        </w:rPr>
      </w:pPr>
    </w:p>
    <w:p w:rsidR="008F715D" w:rsidRPr="00633072" w:rsidRDefault="008F715D" w:rsidP="008F715D">
      <w:pPr>
        <w:jc w:val="both"/>
        <w:rPr>
          <w:b/>
          <w:color w:val="1F497D" w:themeColor="text2"/>
        </w:rPr>
      </w:pPr>
      <w:r w:rsidRPr="00633072">
        <w:rPr>
          <w:b/>
          <w:color w:val="1F497D" w:themeColor="text2"/>
        </w:rPr>
        <w:t>Les sinistres réglés</w:t>
      </w:r>
    </w:p>
    <w:p w:rsidR="008F715D" w:rsidRDefault="008F715D" w:rsidP="008F715D">
      <w:pPr>
        <w:jc w:val="both"/>
        <w:rPr>
          <w:color w:val="000000" w:themeColor="text1"/>
        </w:rPr>
      </w:pPr>
    </w:p>
    <w:p w:rsidR="008F715D" w:rsidRDefault="008F715D" w:rsidP="008F715D">
      <w:pPr>
        <w:jc w:val="both"/>
        <w:rPr>
          <w:color w:val="000000" w:themeColor="text1"/>
        </w:rPr>
      </w:pPr>
      <w:r w:rsidRPr="002205E6">
        <w:rPr>
          <w:color w:val="000000" w:themeColor="text1"/>
        </w:rPr>
        <w:t>La charge totale des sinistres payés, s’est élevée à 12,89 milliards de FCFA au deuxième trimestre 2016 contre 13,18 milliards à la même période en 2015, soit une baisse de 2,2%. Les sinistres réglés pour le compte de la branche Non Vie se sont contractés de 21,1% à 8,39 milliards de FCFA au deuxième trimestre en 2016. Par contre, dans le même temps, la branche Vie a couvert 39% des sinistres payés du secteur. Ils ont progressé de 76,5% à 4,50 milliards de FCFA au deuxième trimestre 2016.</w:t>
      </w:r>
    </w:p>
    <w:p w:rsidR="008F715D" w:rsidRDefault="008F715D" w:rsidP="008F715D"/>
    <w:p w:rsidR="008F715D" w:rsidRPr="00A52E27" w:rsidRDefault="008F715D" w:rsidP="008F715D">
      <w:pPr>
        <w:pStyle w:val="Titre2"/>
        <w:rPr>
          <w:b/>
          <w:bCs/>
          <w:i w:val="0"/>
          <w:color w:val="0000FF"/>
          <w:sz w:val="24"/>
        </w:rPr>
      </w:pPr>
      <w:bookmarkStart w:id="254" w:name="_Toc462990858"/>
      <w:r>
        <w:rPr>
          <w:b/>
          <w:bCs/>
          <w:i w:val="0"/>
          <w:color w:val="0000FF"/>
          <w:sz w:val="24"/>
        </w:rPr>
        <w:t>I</w:t>
      </w:r>
      <w:r w:rsidRPr="00A52E27">
        <w:rPr>
          <w:b/>
          <w:bCs/>
          <w:i w:val="0"/>
          <w:color w:val="0000FF"/>
          <w:sz w:val="24"/>
        </w:rPr>
        <w:t>I.</w:t>
      </w:r>
      <w:r>
        <w:rPr>
          <w:b/>
          <w:bCs/>
          <w:i w:val="0"/>
          <w:color w:val="0000FF"/>
          <w:sz w:val="24"/>
        </w:rPr>
        <w:t>21 LA SITUATION DES ETABLISSEMENTS FINANCIERS</w:t>
      </w:r>
      <w:bookmarkEnd w:id="254"/>
    </w:p>
    <w:p w:rsidR="008F715D" w:rsidRDefault="008F715D" w:rsidP="008F715D">
      <w:pPr>
        <w:spacing w:after="120"/>
        <w:jc w:val="both"/>
      </w:pPr>
    </w:p>
    <w:p w:rsidR="008F715D" w:rsidRDefault="008F715D" w:rsidP="008F715D">
      <w:pPr>
        <w:spacing w:line="276" w:lineRule="auto"/>
        <w:jc w:val="both"/>
        <w:rPr>
          <w:rFonts w:asciiTheme="majorBidi" w:hAnsiTheme="majorBidi" w:cstheme="majorBidi"/>
        </w:rPr>
      </w:pPr>
      <w:r>
        <w:rPr>
          <w:rFonts w:asciiTheme="majorBidi" w:hAnsiTheme="majorBidi" w:cstheme="majorBidi"/>
        </w:rPr>
        <w:t>A fin juin</w:t>
      </w:r>
      <w:r w:rsidRPr="00A25FF9">
        <w:rPr>
          <w:rFonts w:asciiTheme="majorBidi" w:hAnsiTheme="majorBidi" w:cstheme="majorBidi"/>
        </w:rPr>
        <w:t xml:space="preserve"> 2016, trois (3) établissements financiers ont été recensés au Gabon, à savoir Alios Finance Gabon, Finatra, et Bici-Bail Gabon. Ces trois établissements ont pour principales activités le crédit automobile, le crédit bail et le crédit d’équipement.</w:t>
      </w:r>
    </w:p>
    <w:p w:rsidR="008F715D" w:rsidRPr="00A25FF9" w:rsidRDefault="008F715D" w:rsidP="008F715D">
      <w:pPr>
        <w:spacing w:line="276" w:lineRule="auto"/>
        <w:jc w:val="both"/>
        <w:rPr>
          <w:rFonts w:asciiTheme="majorBidi" w:hAnsiTheme="majorBidi" w:cstheme="majorBidi"/>
        </w:rPr>
      </w:pPr>
    </w:p>
    <w:p w:rsidR="008F715D" w:rsidRPr="00A52E27" w:rsidRDefault="008F715D" w:rsidP="008F715D">
      <w:pPr>
        <w:pStyle w:val="Titre3"/>
        <w:ind w:firstLine="0"/>
        <w:rPr>
          <w:b/>
          <w:bCs/>
          <w:i/>
          <w:iCs/>
          <w:color w:val="0000FF"/>
          <w:sz w:val="24"/>
        </w:rPr>
      </w:pPr>
      <w:bookmarkStart w:id="255" w:name="_Toc462990859"/>
      <w:r>
        <w:rPr>
          <w:b/>
          <w:bCs/>
          <w:i/>
          <w:iCs/>
          <w:color w:val="0000FF"/>
          <w:sz w:val="24"/>
        </w:rPr>
        <w:t>II.21.1 Les ressources</w:t>
      </w:r>
      <w:bookmarkEnd w:id="255"/>
      <w:r>
        <w:rPr>
          <w:b/>
          <w:bCs/>
          <w:i/>
          <w:iCs/>
          <w:color w:val="0000FF"/>
          <w:sz w:val="24"/>
        </w:rPr>
        <w:t xml:space="preserve"> </w:t>
      </w:r>
    </w:p>
    <w:p w:rsidR="008F715D" w:rsidRPr="00A25FF9" w:rsidRDefault="008F715D" w:rsidP="008F715D"/>
    <w:p w:rsidR="008F715D" w:rsidRPr="007E2CC3" w:rsidRDefault="008F715D" w:rsidP="008F715D">
      <w:pPr>
        <w:spacing w:line="276" w:lineRule="auto"/>
        <w:jc w:val="both"/>
        <w:rPr>
          <w:rFonts w:asciiTheme="majorBidi" w:hAnsiTheme="majorBidi" w:cstheme="majorBidi"/>
        </w:rPr>
      </w:pPr>
      <w:r>
        <w:rPr>
          <w:rFonts w:asciiTheme="majorBidi" w:hAnsiTheme="majorBidi" w:cstheme="majorBidi"/>
        </w:rPr>
        <w:t>L</w:t>
      </w:r>
      <w:r w:rsidRPr="007E2CC3">
        <w:rPr>
          <w:rFonts w:asciiTheme="majorBidi" w:hAnsiTheme="majorBidi" w:cstheme="majorBidi"/>
        </w:rPr>
        <w:t xml:space="preserve">es ressources des établissements financiers </w:t>
      </w:r>
      <w:r>
        <w:rPr>
          <w:rFonts w:asciiTheme="majorBidi" w:hAnsiTheme="majorBidi" w:cstheme="majorBidi"/>
        </w:rPr>
        <w:t>à</w:t>
      </w:r>
      <w:r w:rsidRPr="007E2CC3">
        <w:rPr>
          <w:rFonts w:asciiTheme="majorBidi" w:hAnsiTheme="majorBidi" w:cstheme="majorBidi"/>
        </w:rPr>
        <w:t xml:space="preserve"> fin juin 2016, se sont établies à 82,5 milliards de FCFA contre 83,4 milliards de FCFA un an auparavant, soit une baisse de 1,1%. Cette situation résulte essentiellement de la baisse simultanée des dettes bancaires (-1,2% à 65,9 milliards de FCFA) et des capitaux propres (-0,6% à 16,6 milliards de FCFA) au c</w:t>
      </w:r>
      <w:r>
        <w:rPr>
          <w:rFonts w:asciiTheme="majorBidi" w:hAnsiTheme="majorBidi" w:cstheme="majorBidi"/>
        </w:rPr>
        <w:t>ours de la période sous revue.</w:t>
      </w:r>
    </w:p>
    <w:p w:rsidR="008F715D" w:rsidRPr="007E2CC3" w:rsidRDefault="008F715D" w:rsidP="008F715D">
      <w:pPr>
        <w:jc w:val="center"/>
        <w:rPr>
          <w:b/>
          <w:sz w:val="22"/>
          <w:szCs w:val="22"/>
        </w:rPr>
      </w:pPr>
      <w:r w:rsidRPr="007E2CC3">
        <w:rPr>
          <w:b/>
          <w:sz w:val="22"/>
          <w:szCs w:val="22"/>
        </w:rPr>
        <w:t>Evolution des ressources au premier trimestre 2016 (en milliards de FCFA)</w:t>
      </w:r>
    </w:p>
    <w:tbl>
      <w:tblPr>
        <w:tblW w:w="6519" w:type="dxa"/>
        <w:jc w:val="center"/>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1662"/>
        <w:gridCol w:w="1736"/>
        <w:gridCol w:w="1686"/>
        <w:gridCol w:w="1435"/>
      </w:tblGrid>
      <w:tr w:rsidR="008F715D" w:rsidRPr="007E2CC3" w:rsidTr="002105A0">
        <w:trPr>
          <w:trHeight w:val="366"/>
          <w:jc w:val="center"/>
        </w:trPr>
        <w:tc>
          <w:tcPr>
            <w:tcW w:w="1662" w:type="dxa"/>
            <w:shd w:val="clear" w:color="auto" w:fill="auto"/>
            <w:noWrap/>
            <w:vAlign w:val="center"/>
            <w:hideMark/>
          </w:tcPr>
          <w:p w:rsidR="008F715D" w:rsidRPr="007E2CC3" w:rsidRDefault="008F715D" w:rsidP="002105A0">
            <w:pPr>
              <w:rPr>
                <w:b/>
                <w:bCs/>
                <w:color w:val="000000"/>
                <w:sz w:val="20"/>
                <w:szCs w:val="20"/>
              </w:rPr>
            </w:pPr>
            <w:r w:rsidRPr="007E2CC3">
              <w:rPr>
                <w:b/>
                <w:bCs/>
                <w:color w:val="000000"/>
                <w:sz w:val="20"/>
                <w:szCs w:val="20"/>
              </w:rPr>
              <w:t xml:space="preserve">Indicateurs </w:t>
            </w:r>
          </w:p>
        </w:tc>
        <w:tc>
          <w:tcPr>
            <w:tcW w:w="1736" w:type="dxa"/>
            <w:shd w:val="clear" w:color="auto" w:fill="auto"/>
            <w:vAlign w:val="center"/>
          </w:tcPr>
          <w:p w:rsidR="008F715D" w:rsidRPr="007E2CC3" w:rsidRDefault="008F715D" w:rsidP="002105A0">
            <w:pPr>
              <w:jc w:val="center"/>
              <w:rPr>
                <w:b/>
                <w:bCs/>
                <w:color w:val="000000"/>
                <w:sz w:val="20"/>
                <w:szCs w:val="20"/>
              </w:rPr>
            </w:pPr>
            <w:r w:rsidRPr="007E2CC3">
              <w:rPr>
                <w:b/>
                <w:bCs/>
                <w:color w:val="000000"/>
                <w:sz w:val="20"/>
                <w:szCs w:val="20"/>
              </w:rPr>
              <w:t>2</w:t>
            </w:r>
            <w:r w:rsidRPr="007E2CC3">
              <w:rPr>
                <w:b/>
                <w:bCs/>
                <w:color w:val="000000"/>
                <w:sz w:val="20"/>
                <w:szCs w:val="20"/>
                <w:vertAlign w:val="superscript"/>
              </w:rPr>
              <w:t>e</w:t>
            </w:r>
            <w:r w:rsidRPr="007E2CC3">
              <w:rPr>
                <w:b/>
                <w:bCs/>
                <w:color w:val="000000"/>
                <w:sz w:val="20"/>
                <w:szCs w:val="20"/>
              </w:rPr>
              <w:t xml:space="preserve">  trimestre 2015</w:t>
            </w:r>
          </w:p>
        </w:tc>
        <w:tc>
          <w:tcPr>
            <w:tcW w:w="1686" w:type="dxa"/>
            <w:shd w:val="clear" w:color="auto" w:fill="auto"/>
            <w:noWrap/>
            <w:vAlign w:val="center"/>
            <w:hideMark/>
          </w:tcPr>
          <w:p w:rsidR="008F715D" w:rsidRPr="007E2CC3" w:rsidRDefault="008F715D" w:rsidP="002105A0">
            <w:pPr>
              <w:jc w:val="center"/>
              <w:rPr>
                <w:b/>
                <w:bCs/>
                <w:color w:val="000000"/>
                <w:sz w:val="20"/>
                <w:szCs w:val="20"/>
              </w:rPr>
            </w:pPr>
            <w:r w:rsidRPr="007E2CC3">
              <w:rPr>
                <w:b/>
                <w:bCs/>
                <w:color w:val="000000"/>
                <w:sz w:val="20"/>
                <w:szCs w:val="20"/>
              </w:rPr>
              <w:t>2</w:t>
            </w:r>
            <w:r w:rsidRPr="007E2CC3">
              <w:rPr>
                <w:b/>
                <w:bCs/>
                <w:color w:val="000000"/>
                <w:sz w:val="20"/>
                <w:szCs w:val="20"/>
                <w:vertAlign w:val="superscript"/>
              </w:rPr>
              <w:t>e</w:t>
            </w:r>
            <w:r w:rsidRPr="007E2CC3">
              <w:rPr>
                <w:b/>
                <w:bCs/>
                <w:color w:val="000000"/>
                <w:sz w:val="20"/>
                <w:szCs w:val="20"/>
              </w:rPr>
              <w:t xml:space="preserve"> trimestre 2016</w:t>
            </w:r>
          </w:p>
        </w:tc>
        <w:tc>
          <w:tcPr>
            <w:tcW w:w="1435" w:type="dxa"/>
            <w:shd w:val="clear" w:color="auto" w:fill="auto"/>
            <w:noWrap/>
            <w:vAlign w:val="center"/>
            <w:hideMark/>
          </w:tcPr>
          <w:p w:rsidR="008F715D" w:rsidRPr="007E2CC3" w:rsidRDefault="008F715D" w:rsidP="002105A0">
            <w:pPr>
              <w:jc w:val="center"/>
              <w:rPr>
                <w:b/>
                <w:bCs/>
                <w:color w:val="000000"/>
                <w:sz w:val="20"/>
                <w:szCs w:val="20"/>
              </w:rPr>
            </w:pPr>
            <w:r w:rsidRPr="007E2CC3">
              <w:rPr>
                <w:b/>
                <w:bCs/>
                <w:color w:val="000000"/>
                <w:sz w:val="20"/>
                <w:szCs w:val="20"/>
              </w:rPr>
              <w:t>var 2016/2015</w:t>
            </w:r>
          </w:p>
        </w:tc>
      </w:tr>
      <w:tr w:rsidR="008F715D" w:rsidRPr="007E2CC3" w:rsidTr="002105A0">
        <w:trPr>
          <w:trHeight w:val="407"/>
          <w:jc w:val="center"/>
        </w:trPr>
        <w:tc>
          <w:tcPr>
            <w:tcW w:w="1662" w:type="dxa"/>
            <w:shd w:val="clear" w:color="auto" w:fill="auto"/>
            <w:noWrap/>
            <w:vAlign w:val="bottom"/>
            <w:hideMark/>
          </w:tcPr>
          <w:p w:rsidR="008F715D" w:rsidRPr="005E5592" w:rsidRDefault="008F715D" w:rsidP="002105A0">
            <w:pPr>
              <w:rPr>
                <w:bCs/>
                <w:color w:val="000000"/>
                <w:sz w:val="20"/>
                <w:szCs w:val="20"/>
              </w:rPr>
            </w:pPr>
            <w:r w:rsidRPr="005E5592">
              <w:rPr>
                <w:bCs/>
                <w:color w:val="000000"/>
                <w:sz w:val="20"/>
                <w:szCs w:val="20"/>
              </w:rPr>
              <w:t xml:space="preserve">Capitaux propres </w:t>
            </w:r>
          </w:p>
        </w:tc>
        <w:tc>
          <w:tcPr>
            <w:tcW w:w="1736" w:type="dxa"/>
            <w:vAlign w:val="center"/>
          </w:tcPr>
          <w:p w:rsidR="008F715D" w:rsidRPr="007E2CC3" w:rsidRDefault="008F715D" w:rsidP="002105A0">
            <w:pPr>
              <w:jc w:val="center"/>
              <w:rPr>
                <w:bCs/>
                <w:color w:val="000000"/>
                <w:sz w:val="20"/>
                <w:szCs w:val="20"/>
              </w:rPr>
            </w:pPr>
            <w:r w:rsidRPr="007E2CC3">
              <w:rPr>
                <w:bCs/>
                <w:color w:val="000000"/>
                <w:sz w:val="20"/>
                <w:szCs w:val="20"/>
              </w:rPr>
              <w:t>16,7</w:t>
            </w:r>
          </w:p>
        </w:tc>
        <w:tc>
          <w:tcPr>
            <w:tcW w:w="1686" w:type="dxa"/>
            <w:shd w:val="clear" w:color="auto" w:fill="auto"/>
            <w:noWrap/>
            <w:vAlign w:val="center"/>
            <w:hideMark/>
          </w:tcPr>
          <w:p w:rsidR="008F715D" w:rsidRPr="007E2CC3" w:rsidRDefault="008F715D" w:rsidP="002105A0">
            <w:pPr>
              <w:jc w:val="center"/>
              <w:rPr>
                <w:bCs/>
                <w:color w:val="000000"/>
                <w:sz w:val="20"/>
                <w:szCs w:val="20"/>
              </w:rPr>
            </w:pPr>
            <w:r w:rsidRPr="007E2CC3">
              <w:rPr>
                <w:bCs/>
                <w:color w:val="000000"/>
                <w:sz w:val="20"/>
                <w:szCs w:val="20"/>
              </w:rPr>
              <w:t>16,6</w:t>
            </w:r>
          </w:p>
        </w:tc>
        <w:tc>
          <w:tcPr>
            <w:tcW w:w="1435" w:type="dxa"/>
            <w:shd w:val="clear" w:color="auto" w:fill="auto"/>
            <w:noWrap/>
            <w:vAlign w:val="center"/>
            <w:hideMark/>
          </w:tcPr>
          <w:p w:rsidR="008F715D" w:rsidRPr="007E2CC3" w:rsidRDefault="008F715D" w:rsidP="002105A0">
            <w:pPr>
              <w:jc w:val="center"/>
              <w:rPr>
                <w:bCs/>
                <w:color w:val="FF0000"/>
                <w:sz w:val="20"/>
                <w:szCs w:val="20"/>
              </w:rPr>
            </w:pPr>
            <w:r w:rsidRPr="007E2CC3">
              <w:rPr>
                <w:bCs/>
                <w:color w:val="FF0000"/>
                <w:sz w:val="20"/>
                <w:szCs w:val="20"/>
              </w:rPr>
              <w:t>-0,6%</w:t>
            </w:r>
          </w:p>
        </w:tc>
      </w:tr>
      <w:tr w:rsidR="008F715D" w:rsidRPr="007E2CC3" w:rsidTr="002105A0">
        <w:trPr>
          <w:trHeight w:val="350"/>
          <w:jc w:val="center"/>
        </w:trPr>
        <w:tc>
          <w:tcPr>
            <w:tcW w:w="1662" w:type="dxa"/>
            <w:shd w:val="clear" w:color="auto" w:fill="auto"/>
            <w:noWrap/>
            <w:vAlign w:val="bottom"/>
            <w:hideMark/>
          </w:tcPr>
          <w:p w:rsidR="008F715D" w:rsidRPr="005E5592" w:rsidRDefault="008F715D" w:rsidP="002105A0">
            <w:pPr>
              <w:rPr>
                <w:bCs/>
                <w:color w:val="000000"/>
                <w:sz w:val="20"/>
                <w:szCs w:val="20"/>
              </w:rPr>
            </w:pPr>
            <w:r w:rsidRPr="005E5592">
              <w:rPr>
                <w:bCs/>
                <w:color w:val="000000"/>
                <w:sz w:val="20"/>
                <w:szCs w:val="20"/>
              </w:rPr>
              <w:t xml:space="preserve">Dettes bancaires </w:t>
            </w:r>
          </w:p>
        </w:tc>
        <w:tc>
          <w:tcPr>
            <w:tcW w:w="1736" w:type="dxa"/>
            <w:vAlign w:val="center"/>
          </w:tcPr>
          <w:p w:rsidR="008F715D" w:rsidRPr="007E2CC3" w:rsidRDefault="008F715D" w:rsidP="002105A0">
            <w:pPr>
              <w:jc w:val="center"/>
              <w:rPr>
                <w:color w:val="000000"/>
                <w:sz w:val="20"/>
                <w:szCs w:val="20"/>
              </w:rPr>
            </w:pPr>
            <w:r w:rsidRPr="007E2CC3">
              <w:rPr>
                <w:color w:val="000000"/>
                <w:sz w:val="20"/>
                <w:szCs w:val="20"/>
              </w:rPr>
              <w:t>66,7</w:t>
            </w:r>
          </w:p>
        </w:tc>
        <w:tc>
          <w:tcPr>
            <w:tcW w:w="1686" w:type="dxa"/>
            <w:shd w:val="clear" w:color="auto" w:fill="auto"/>
            <w:noWrap/>
            <w:vAlign w:val="center"/>
            <w:hideMark/>
          </w:tcPr>
          <w:p w:rsidR="008F715D" w:rsidRPr="007E2CC3" w:rsidRDefault="008F715D" w:rsidP="002105A0">
            <w:pPr>
              <w:jc w:val="center"/>
              <w:rPr>
                <w:color w:val="000000"/>
                <w:sz w:val="20"/>
                <w:szCs w:val="20"/>
              </w:rPr>
            </w:pPr>
            <w:r w:rsidRPr="007E2CC3">
              <w:rPr>
                <w:color w:val="000000"/>
                <w:sz w:val="20"/>
                <w:szCs w:val="20"/>
              </w:rPr>
              <w:t>65,9</w:t>
            </w:r>
          </w:p>
        </w:tc>
        <w:tc>
          <w:tcPr>
            <w:tcW w:w="1435" w:type="dxa"/>
            <w:shd w:val="clear" w:color="auto" w:fill="auto"/>
            <w:noWrap/>
            <w:vAlign w:val="center"/>
            <w:hideMark/>
          </w:tcPr>
          <w:p w:rsidR="008F715D" w:rsidRPr="007E2CC3" w:rsidRDefault="008F715D" w:rsidP="002105A0">
            <w:pPr>
              <w:jc w:val="center"/>
              <w:rPr>
                <w:bCs/>
                <w:color w:val="FF0000"/>
                <w:sz w:val="20"/>
                <w:szCs w:val="20"/>
              </w:rPr>
            </w:pPr>
            <w:r w:rsidRPr="007E2CC3">
              <w:rPr>
                <w:bCs/>
                <w:color w:val="FF0000"/>
                <w:sz w:val="20"/>
                <w:szCs w:val="20"/>
              </w:rPr>
              <w:t>-1,2%</w:t>
            </w:r>
          </w:p>
        </w:tc>
      </w:tr>
      <w:tr w:rsidR="008F715D" w:rsidRPr="007E2CC3" w:rsidTr="002105A0">
        <w:trPr>
          <w:trHeight w:val="391"/>
          <w:jc w:val="center"/>
        </w:trPr>
        <w:tc>
          <w:tcPr>
            <w:tcW w:w="1662" w:type="dxa"/>
            <w:shd w:val="clear" w:color="auto" w:fill="auto"/>
            <w:noWrap/>
            <w:vAlign w:val="bottom"/>
            <w:hideMark/>
          </w:tcPr>
          <w:p w:rsidR="008F715D" w:rsidRPr="007E2CC3" w:rsidRDefault="008F715D" w:rsidP="002105A0">
            <w:pPr>
              <w:rPr>
                <w:b/>
                <w:bCs/>
                <w:color w:val="000000"/>
                <w:sz w:val="20"/>
                <w:szCs w:val="20"/>
              </w:rPr>
            </w:pPr>
            <w:r w:rsidRPr="007E2CC3">
              <w:rPr>
                <w:b/>
                <w:bCs/>
                <w:color w:val="000000"/>
                <w:sz w:val="20"/>
                <w:szCs w:val="20"/>
              </w:rPr>
              <w:t xml:space="preserve">Ressources </w:t>
            </w:r>
          </w:p>
        </w:tc>
        <w:tc>
          <w:tcPr>
            <w:tcW w:w="1736" w:type="dxa"/>
            <w:vAlign w:val="center"/>
          </w:tcPr>
          <w:p w:rsidR="008F715D" w:rsidRPr="007E2CC3" w:rsidRDefault="008F715D" w:rsidP="002105A0">
            <w:pPr>
              <w:jc w:val="center"/>
              <w:rPr>
                <w:b/>
                <w:color w:val="000000"/>
                <w:sz w:val="20"/>
                <w:szCs w:val="20"/>
              </w:rPr>
            </w:pPr>
            <w:r w:rsidRPr="007E2CC3">
              <w:rPr>
                <w:b/>
                <w:color w:val="000000"/>
                <w:sz w:val="20"/>
                <w:szCs w:val="20"/>
              </w:rPr>
              <w:t>83,4</w:t>
            </w:r>
          </w:p>
        </w:tc>
        <w:tc>
          <w:tcPr>
            <w:tcW w:w="1686" w:type="dxa"/>
            <w:shd w:val="clear" w:color="auto" w:fill="auto"/>
            <w:noWrap/>
            <w:vAlign w:val="center"/>
            <w:hideMark/>
          </w:tcPr>
          <w:p w:rsidR="008F715D" w:rsidRPr="007E2CC3" w:rsidRDefault="008F715D" w:rsidP="002105A0">
            <w:pPr>
              <w:jc w:val="center"/>
              <w:rPr>
                <w:b/>
                <w:color w:val="000000"/>
                <w:sz w:val="20"/>
                <w:szCs w:val="20"/>
              </w:rPr>
            </w:pPr>
            <w:r w:rsidRPr="007E2CC3">
              <w:rPr>
                <w:b/>
                <w:color w:val="000000"/>
                <w:sz w:val="20"/>
                <w:szCs w:val="20"/>
              </w:rPr>
              <w:t>82,5</w:t>
            </w:r>
          </w:p>
        </w:tc>
        <w:tc>
          <w:tcPr>
            <w:tcW w:w="1435" w:type="dxa"/>
            <w:shd w:val="clear" w:color="auto" w:fill="auto"/>
            <w:noWrap/>
            <w:vAlign w:val="center"/>
            <w:hideMark/>
          </w:tcPr>
          <w:p w:rsidR="008F715D" w:rsidRPr="007E2CC3" w:rsidRDefault="008F715D" w:rsidP="002105A0">
            <w:pPr>
              <w:jc w:val="center"/>
              <w:rPr>
                <w:b/>
                <w:bCs/>
                <w:color w:val="FF0000"/>
                <w:sz w:val="20"/>
                <w:szCs w:val="20"/>
              </w:rPr>
            </w:pPr>
            <w:r w:rsidRPr="007E2CC3">
              <w:rPr>
                <w:b/>
                <w:bCs/>
                <w:color w:val="FF0000"/>
                <w:sz w:val="20"/>
                <w:szCs w:val="20"/>
              </w:rPr>
              <w:t>-1,1%</w:t>
            </w:r>
          </w:p>
        </w:tc>
      </w:tr>
    </w:tbl>
    <w:p w:rsidR="008F715D" w:rsidRDefault="008F715D" w:rsidP="008F715D">
      <w:pPr>
        <w:ind w:left="708"/>
        <w:rPr>
          <w:b/>
          <w:i/>
          <w:sz w:val="18"/>
          <w:szCs w:val="18"/>
        </w:rPr>
      </w:pPr>
      <w:r w:rsidRPr="005E5592">
        <w:rPr>
          <w:b/>
          <w:i/>
          <w:sz w:val="18"/>
          <w:szCs w:val="18"/>
        </w:rPr>
        <w:t xml:space="preserve">            </w:t>
      </w:r>
      <w:r w:rsidRPr="00B33C1A">
        <w:rPr>
          <w:b/>
          <w:i/>
          <w:sz w:val="18"/>
          <w:szCs w:val="18"/>
          <w:u w:val="single"/>
        </w:rPr>
        <w:t>Source</w:t>
      </w:r>
      <w:r>
        <w:rPr>
          <w:b/>
          <w:i/>
          <w:sz w:val="18"/>
          <w:szCs w:val="18"/>
          <w:u w:val="single"/>
        </w:rPr>
        <w:t> :</w:t>
      </w:r>
      <w:r w:rsidRPr="00B33C1A">
        <w:rPr>
          <w:b/>
          <w:i/>
          <w:sz w:val="18"/>
          <w:szCs w:val="18"/>
        </w:rPr>
        <w:t xml:space="preserve"> établissements  financier</w:t>
      </w:r>
      <w:r>
        <w:rPr>
          <w:b/>
          <w:i/>
          <w:sz w:val="18"/>
          <w:szCs w:val="18"/>
        </w:rPr>
        <w:t>s</w:t>
      </w:r>
    </w:p>
    <w:p w:rsidR="008F715D" w:rsidRPr="00B02DAA" w:rsidRDefault="008F715D" w:rsidP="008F715D">
      <w:pPr>
        <w:rPr>
          <w:b/>
          <w:i/>
        </w:rPr>
      </w:pPr>
    </w:p>
    <w:p w:rsidR="008F715D" w:rsidRDefault="008F715D" w:rsidP="008F715D">
      <w:pPr>
        <w:pStyle w:val="Titre3"/>
        <w:ind w:firstLine="0"/>
        <w:rPr>
          <w:b/>
          <w:bCs/>
          <w:i/>
          <w:iCs/>
          <w:color w:val="0000FF"/>
          <w:sz w:val="24"/>
        </w:rPr>
      </w:pPr>
      <w:bookmarkStart w:id="256" w:name="_Toc462990860"/>
      <w:r>
        <w:rPr>
          <w:b/>
          <w:bCs/>
          <w:i/>
          <w:iCs/>
          <w:color w:val="0000FF"/>
          <w:sz w:val="24"/>
        </w:rPr>
        <w:t>II.21.2. Les emplois</w:t>
      </w:r>
      <w:bookmarkEnd w:id="256"/>
    </w:p>
    <w:p w:rsidR="008F715D" w:rsidRPr="00B02DAA" w:rsidRDefault="008F715D" w:rsidP="008F715D">
      <w:pPr>
        <w:spacing w:line="276" w:lineRule="auto"/>
        <w:jc w:val="both"/>
        <w:rPr>
          <w:rFonts w:asciiTheme="majorBidi" w:hAnsiTheme="majorBidi" w:cstheme="majorBidi"/>
        </w:rPr>
      </w:pPr>
    </w:p>
    <w:p w:rsidR="008F715D" w:rsidRDefault="008F715D" w:rsidP="008F715D">
      <w:pPr>
        <w:spacing w:line="276" w:lineRule="auto"/>
        <w:jc w:val="both"/>
        <w:rPr>
          <w:rFonts w:asciiTheme="majorBidi" w:hAnsiTheme="majorBidi" w:cstheme="majorBidi"/>
        </w:rPr>
      </w:pPr>
      <w:r w:rsidRPr="002205E6">
        <w:rPr>
          <w:rFonts w:asciiTheme="majorBidi" w:hAnsiTheme="majorBidi" w:cstheme="majorBidi"/>
        </w:rPr>
        <w:t>Au deuxième trimestre 2016, les emplois ont enregistré une diminution de 24,5% à 98,1 milliards de FCFA, imputable à la baisse concomitante des opérations de crédits-bails (-18% à 72,2 milliards de FCFA) et à moyen terme (-38,7% à 24,7 milliards de FCFA).</w:t>
      </w:r>
    </w:p>
    <w:p w:rsidR="008F715D" w:rsidRDefault="008F715D" w:rsidP="008F715D">
      <w:pPr>
        <w:spacing w:line="276" w:lineRule="auto"/>
        <w:jc w:val="both"/>
        <w:rPr>
          <w:rFonts w:asciiTheme="majorBidi" w:hAnsiTheme="majorBidi" w:cstheme="majorBidi"/>
        </w:rPr>
      </w:pPr>
    </w:p>
    <w:p w:rsidR="008F715D" w:rsidRPr="007E2CC3" w:rsidRDefault="008F715D" w:rsidP="008F715D">
      <w:pPr>
        <w:ind w:firstLine="708"/>
        <w:jc w:val="both"/>
        <w:rPr>
          <w:b/>
          <w:i/>
          <w:color w:val="000000"/>
          <w:sz w:val="22"/>
          <w:szCs w:val="22"/>
        </w:rPr>
      </w:pPr>
      <w:r w:rsidRPr="007E2CC3">
        <w:rPr>
          <w:b/>
          <w:i/>
          <w:color w:val="000000"/>
          <w:sz w:val="22"/>
          <w:szCs w:val="22"/>
        </w:rPr>
        <w:t>Evolution des emplois au deuxième  trimestre 2016 (en milliards de FCFA)</w:t>
      </w:r>
    </w:p>
    <w:tbl>
      <w:tblPr>
        <w:tblW w:w="7986" w:type="dxa"/>
        <w:jc w:val="center"/>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2600"/>
        <w:gridCol w:w="2057"/>
        <w:gridCol w:w="2057"/>
        <w:gridCol w:w="1272"/>
      </w:tblGrid>
      <w:tr w:rsidR="008F715D" w:rsidRPr="00390469" w:rsidTr="002105A0">
        <w:trPr>
          <w:trHeight w:val="548"/>
          <w:jc w:val="center"/>
        </w:trPr>
        <w:tc>
          <w:tcPr>
            <w:tcW w:w="2600" w:type="dxa"/>
            <w:shd w:val="clear" w:color="auto" w:fill="auto"/>
            <w:noWrap/>
            <w:vAlign w:val="center"/>
            <w:hideMark/>
          </w:tcPr>
          <w:p w:rsidR="008F715D" w:rsidRPr="00390469" w:rsidRDefault="008F715D" w:rsidP="002105A0">
            <w:pPr>
              <w:rPr>
                <w:b/>
                <w:bCs/>
                <w:color w:val="000000"/>
              </w:rPr>
            </w:pPr>
            <w:r w:rsidRPr="00390469">
              <w:rPr>
                <w:b/>
                <w:bCs/>
                <w:color w:val="000000"/>
              </w:rPr>
              <w:lastRenderedPageBreak/>
              <w:t xml:space="preserve">Indicateurs </w:t>
            </w:r>
          </w:p>
        </w:tc>
        <w:tc>
          <w:tcPr>
            <w:tcW w:w="2057" w:type="dxa"/>
            <w:shd w:val="clear" w:color="auto" w:fill="auto"/>
            <w:vAlign w:val="center"/>
          </w:tcPr>
          <w:p w:rsidR="008F715D" w:rsidRPr="00390469" w:rsidRDefault="008F715D" w:rsidP="002105A0">
            <w:pPr>
              <w:jc w:val="center"/>
              <w:rPr>
                <w:b/>
                <w:bCs/>
                <w:color w:val="000000"/>
              </w:rPr>
            </w:pPr>
            <w:r w:rsidRPr="00390469">
              <w:rPr>
                <w:b/>
                <w:bCs/>
                <w:color w:val="000000"/>
              </w:rPr>
              <w:t>2</w:t>
            </w:r>
            <w:r w:rsidRPr="00390469">
              <w:rPr>
                <w:b/>
                <w:bCs/>
                <w:color w:val="000000"/>
                <w:vertAlign w:val="superscript"/>
              </w:rPr>
              <w:t>e</w:t>
            </w:r>
            <w:r w:rsidRPr="00390469">
              <w:rPr>
                <w:b/>
                <w:bCs/>
                <w:color w:val="000000"/>
              </w:rPr>
              <w:t xml:space="preserve">  trimestre 2015</w:t>
            </w:r>
          </w:p>
        </w:tc>
        <w:tc>
          <w:tcPr>
            <w:tcW w:w="2057" w:type="dxa"/>
            <w:shd w:val="clear" w:color="auto" w:fill="auto"/>
            <w:noWrap/>
            <w:vAlign w:val="center"/>
            <w:hideMark/>
          </w:tcPr>
          <w:p w:rsidR="008F715D" w:rsidRPr="00390469" w:rsidRDefault="008F715D" w:rsidP="002105A0">
            <w:pPr>
              <w:jc w:val="center"/>
              <w:rPr>
                <w:b/>
                <w:bCs/>
                <w:color w:val="000000"/>
              </w:rPr>
            </w:pPr>
            <w:r w:rsidRPr="00390469">
              <w:rPr>
                <w:b/>
                <w:bCs/>
                <w:color w:val="000000"/>
              </w:rPr>
              <w:t>2</w:t>
            </w:r>
            <w:r w:rsidRPr="00390469">
              <w:rPr>
                <w:b/>
                <w:bCs/>
                <w:color w:val="000000"/>
                <w:vertAlign w:val="superscript"/>
              </w:rPr>
              <w:t>e</w:t>
            </w:r>
            <w:r w:rsidRPr="00390469">
              <w:rPr>
                <w:b/>
                <w:bCs/>
                <w:color w:val="000000"/>
              </w:rPr>
              <w:t xml:space="preserve">  trimestre 2016</w:t>
            </w:r>
          </w:p>
        </w:tc>
        <w:tc>
          <w:tcPr>
            <w:tcW w:w="1272" w:type="dxa"/>
            <w:shd w:val="clear" w:color="auto" w:fill="auto"/>
            <w:noWrap/>
            <w:vAlign w:val="center"/>
            <w:hideMark/>
          </w:tcPr>
          <w:p w:rsidR="008F715D" w:rsidRPr="00390469" w:rsidRDefault="008F715D" w:rsidP="002105A0">
            <w:pPr>
              <w:jc w:val="center"/>
              <w:rPr>
                <w:b/>
                <w:bCs/>
                <w:color w:val="000000"/>
              </w:rPr>
            </w:pPr>
            <w:r w:rsidRPr="00390469">
              <w:rPr>
                <w:b/>
                <w:bCs/>
                <w:color w:val="000000"/>
              </w:rPr>
              <w:t>var 16/15</w:t>
            </w:r>
          </w:p>
        </w:tc>
      </w:tr>
      <w:tr w:rsidR="008F715D" w:rsidRPr="007E2CC3" w:rsidTr="002105A0">
        <w:trPr>
          <w:trHeight w:val="409"/>
          <w:jc w:val="center"/>
        </w:trPr>
        <w:tc>
          <w:tcPr>
            <w:tcW w:w="2600" w:type="dxa"/>
            <w:shd w:val="clear" w:color="auto" w:fill="auto"/>
            <w:noWrap/>
            <w:vAlign w:val="bottom"/>
            <w:hideMark/>
          </w:tcPr>
          <w:p w:rsidR="008F715D" w:rsidRPr="00B75EA4" w:rsidRDefault="008F715D" w:rsidP="002105A0">
            <w:pPr>
              <w:rPr>
                <w:bCs/>
                <w:color w:val="000000"/>
              </w:rPr>
            </w:pPr>
            <w:r w:rsidRPr="00B75EA4">
              <w:rPr>
                <w:bCs/>
                <w:color w:val="000000"/>
              </w:rPr>
              <w:t>Crédits à court terme</w:t>
            </w:r>
          </w:p>
        </w:tc>
        <w:tc>
          <w:tcPr>
            <w:tcW w:w="2057" w:type="dxa"/>
            <w:vAlign w:val="bottom"/>
          </w:tcPr>
          <w:p w:rsidR="008F715D" w:rsidRPr="00B75EA4" w:rsidRDefault="008F715D" w:rsidP="002105A0">
            <w:pPr>
              <w:jc w:val="center"/>
              <w:rPr>
                <w:color w:val="000000"/>
              </w:rPr>
            </w:pPr>
            <w:r w:rsidRPr="00B75EA4">
              <w:rPr>
                <w:color w:val="000000"/>
              </w:rPr>
              <w:t>1,7</w:t>
            </w:r>
          </w:p>
        </w:tc>
        <w:tc>
          <w:tcPr>
            <w:tcW w:w="2057" w:type="dxa"/>
            <w:shd w:val="clear" w:color="auto" w:fill="auto"/>
            <w:noWrap/>
            <w:vAlign w:val="bottom"/>
            <w:hideMark/>
          </w:tcPr>
          <w:p w:rsidR="008F715D" w:rsidRPr="00B75EA4" w:rsidRDefault="008F715D" w:rsidP="002105A0">
            <w:pPr>
              <w:jc w:val="center"/>
              <w:rPr>
                <w:color w:val="000000"/>
              </w:rPr>
            </w:pPr>
            <w:r w:rsidRPr="00B75EA4">
              <w:rPr>
                <w:color w:val="000000"/>
              </w:rPr>
              <w:t>1,2</w:t>
            </w:r>
          </w:p>
        </w:tc>
        <w:tc>
          <w:tcPr>
            <w:tcW w:w="1272" w:type="dxa"/>
            <w:shd w:val="clear" w:color="auto" w:fill="auto"/>
            <w:noWrap/>
            <w:vAlign w:val="bottom"/>
            <w:hideMark/>
          </w:tcPr>
          <w:p w:rsidR="008F715D" w:rsidRPr="00B75EA4" w:rsidRDefault="008F715D" w:rsidP="002105A0">
            <w:pPr>
              <w:jc w:val="center"/>
              <w:rPr>
                <w:color w:val="FF0000"/>
              </w:rPr>
            </w:pPr>
            <w:r w:rsidRPr="00B75EA4">
              <w:rPr>
                <w:color w:val="FF0000"/>
              </w:rPr>
              <w:t>-26,3%</w:t>
            </w:r>
          </w:p>
        </w:tc>
      </w:tr>
      <w:tr w:rsidR="008F715D" w:rsidRPr="007E2CC3" w:rsidTr="002105A0">
        <w:trPr>
          <w:trHeight w:val="352"/>
          <w:jc w:val="center"/>
        </w:trPr>
        <w:tc>
          <w:tcPr>
            <w:tcW w:w="2600" w:type="dxa"/>
            <w:shd w:val="clear" w:color="auto" w:fill="auto"/>
            <w:noWrap/>
            <w:vAlign w:val="bottom"/>
            <w:hideMark/>
          </w:tcPr>
          <w:p w:rsidR="008F715D" w:rsidRPr="00B75EA4" w:rsidRDefault="008F715D" w:rsidP="002105A0">
            <w:pPr>
              <w:rPr>
                <w:bCs/>
                <w:color w:val="000000"/>
              </w:rPr>
            </w:pPr>
            <w:r w:rsidRPr="00B75EA4">
              <w:rPr>
                <w:bCs/>
                <w:color w:val="000000"/>
              </w:rPr>
              <w:t>Crédits à moyen terme</w:t>
            </w:r>
          </w:p>
        </w:tc>
        <w:tc>
          <w:tcPr>
            <w:tcW w:w="2057" w:type="dxa"/>
            <w:vAlign w:val="bottom"/>
          </w:tcPr>
          <w:p w:rsidR="008F715D" w:rsidRPr="00B75EA4" w:rsidRDefault="008F715D" w:rsidP="002105A0">
            <w:pPr>
              <w:jc w:val="center"/>
              <w:rPr>
                <w:color w:val="000000"/>
              </w:rPr>
            </w:pPr>
            <w:r w:rsidRPr="00B75EA4">
              <w:rPr>
                <w:color w:val="000000"/>
              </w:rPr>
              <w:t>40,2</w:t>
            </w:r>
          </w:p>
        </w:tc>
        <w:tc>
          <w:tcPr>
            <w:tcW w:w="2057" w:type="dxa"/>
            <w:shd w:val="clear" w:color="auto" w:fill="auto"/>
            <w:noWrap/>
            <w:vAlign w:val="bottom"/>
            <w:hideMark/>
          </w:tcPr>
          <w:p w:rsidR="008F715D" w:rsidRPr="00B75EA4" w:rsidRDefault="008F715D" w:rsidP="002105A0">
            <w:pPr>
              <w:jc w:val="center"/>
              <w:rPr>
                <w:color w:val="000000"/>
              </w:rPr>
            </w:pPr>
            <w:r w:rsidRPr="00B75EA4">
              <w:rPr>
                <w:color w:val="000000"/>
              </w:rPr>
              <w:t>24,7</w:t>
            </w:r>
          </w:p>
        </w:tc>
        <w:tc>
          <w:tcPr>
            <w:tcW w:w="1272" w:type="dxa"/>
            <w:shd w:val="clear" w:color="auto" w:fill="auto"/>
            <w:noWrap/>
            <w:vAlign w:val="bottom"/>
            <w:hideMark/>
          </w:tcPr>
          <w:p w:rsidR="008F715D" w:rsidRPr="00B75EA4" w:rsidRDefault="008F715D" w:rsidP="002105A0">
            <w:pPr>
              <w:jc w:val="center"/>
              <w:rPr>
                <w:color w:val="FF0000"/>
              </w:rPr>
            </w:pPr>
            <w:r w:rsidRPr="00B75EA4">
              <w:rPr>
                <w:color w:val="FF0000"/>
              </w:rPr>
              <w:t>-38,7%</w:t>
            </w:r>
          </w:p>
        </w:tc>
      </w:tr>
      <w:tr w:rsidR="008F715D" w:rsidRPr="007E2CC3" w:rsidTr="002105A0">
        <w:trPr>
          <w:trHeight w:val="393"/>
          <w:jc w:val="center"/>
        </w:trPr>
        <w:tc>
          <w:tcPr>
            <w:tcW w:w="2600" w:type="dxa"/>
            <w:shd w:val="clear" w:color="auto" w:fill="auto"/>
            <w:noWrap/>
            <w:vAlign w:val="bottom"/>
            <w:hideMark/>
          </w:tcPr>
          <w:p w:rsidR="008F715D" w:rsidRPr="00B75EA4" w:rsidRDefault="008F715D" w:rsidP="002105A0">
            <w:pPr>
              <w:rPr>
                <w:bCs/>
                <w:color w:val="000000"/>
              </w:rPr>
            </w:pPr>
            <w:r w:rsidRPr="00B75EA4">
              <w:rPr>
                <w:bCs/>
                <w:color w:val="000000"/>
              </w:rPr>
              <w:t>Crédits à long terme</w:t>
            </w:r>
          </w:p>
        </w:tc>
        <w:tc>
          <w:tcPr>
            <w:tcW w:w="2057" w:type="dxa"/>
            <w:vAlign w:val="bottom"/>
          </w:tcPr>
          <w:p w:rsidR="008F715D" w:rsidRPr="00B75EA4" w:rsidRDefault="008F715D" w:rsidP="002105A0">
            <w:pPr>
              <w:jc w:val="center"/>
              <w:rPr>
                <w:color w:val="000000"/>
              </w:rPr>
            </w:pPr>
            <w:r w:rsidRPr="00B75EA4">
              <w:rPr>
                <w:color w:val="000000"/>
              </w:rPr>
              <w:t>0,0</w:t>
            </w:r>
          </w:p>
        </w:tc>
        <w:tc>
          <w:tcPr>
            <w:tcW w:w="2057" w:type="dxa"/>
            <w:shd w:val="clear" w:color="auto" w:fill="auto"/>
            <w:noWrap/>
            <w:vAlign w:val="bottom"/>
            <w:hideMark/>
          </w:tcPr>
          <w:p w:rsidR="008F715D" w:rsidRPr="00B75EA4" w:rsidRDefault="008F715D" w:rsidP="002105A0">
            <w:pPr>
              <w:jc w:val="center"/>
              <w:rPr>
                <w:color w:val="000000"/>
              </w:rPr>
            </w:pPr>
            <w:r w:rsidRPr="00B75EA4">
              <w:rPr>
                <w:color w:val="000000"/>
              </w:rPr>
              <w:t>0,0</w:t>
            </w:r>
          </w:p>
        </w:tc>
        <w:tc>
          <w:tcPr>
            <w:tcW w:w="1272" w:type="dxa"/>
            <w:shd w:val="clear" w:color="auto" w:fill="auto"/>
            <w:noWrap/>
            <w:vAlign w:val="bottom"/>
            <w:hideMark/>
          </w:tcPr>
          <w:p w:rsidR="008F715D" w:rsidRPr="00B75EA4" w:rsidRDefault="008F715D" w:rsidP="002105A0">
            <w:pPr>
              <w:jc w:val="center"/>
              <w:rPr>
                <w:color w:val="000000"/>
              </w:rPr>
            </w:pPr>
            <w:r w:rsidRPr="00B75EA4">
              <w:rPr>
                <w:color w:val="000000"/>
              </w:rPr>
              <w:t>-</w:t>
            </w:r>
          </w:p>
        </w:tc>
      </w:tr>
      <w:tr w:rsidR="008F715D" w:rsidRPr="007E2CC3" w:rsidTr="002105A0">
        <w:trPr>
          <w:trHeight w:val="393"/>
          <w:jc w:val="center"/>
        </w:trPr>
        <w:tc>
          <w:tcPr>
            <w:tcW w:w="2600" w:type="dxa"/>
            <w:shd w:val="clear" w:color="auto" w:fill="auto"/>
            <w:noWrap/>
            <w:vAlign w:val="bottom"/>
            <w:hideMark/>
          </w:tcPr>
          <w:p w:rsidR="008F715D" w:rsidRPr="00B75EA4" w:rsidRDefault="008F715D" w:rsidP="002105A0">
            <w:pPr>
              <w:rPr>
                <w:bCs/>
                <w:color w:val="000000"/>
              </w:rPr>
            </w:pPr>
            <w:r w:rsidRPr="00B75EA4">
              <w:rPr>
                <w:bCs/>
                <w:color w:val="000000"/>
              </w:rPr>
              <w:t>Crédits-bails</w:t>
            </w:r>
          </w:p>
        </w:tc>
        <w:tc>
          <w:tcPr>
            <w:tcW w:w="2057" w:type="dxa"/>
            <w:vAlign w:val="bottom"/>
          </w:tcPr>
          <w:p w:rsidR="008F715D" w:rsidRPr="00B75EA4" w:rsidRDefault="008F715D" w:rsidP="002105A0">
            <w:pPr>
              <w:jc w:val="center"/>
              <w:rPr>
                <w:color w:val="000000"/>
              </w:rPr>
            </w:pPr>
            <w:r w:rsidRPr="00B75EA4">
              <w:rPr>
                <w:color w:val="000000"/>
              </w:rPr>
              <w:t>88</w:t>
            </w:r>
          </w:p>
        </w:tc>
        <w:tc>
          <w:tcPr>
            <w:tcW w:w="2057" w:type="dxa"/>
            <w:shd w:val="clear" w:color="auto" w:fill="auto"/>
            <w:noWrap/>
            <w:vAlign w:val="bottom"/>
            <w:hideMark/>
          </w:tcPr>
          <w:p w:rsidR="008F715D" w:rsidRPr="00B75EA4" w:rsidRDefault="008F715D" w:rsidP="002105A0">
            <w:pPr>
              <w:jc w:val="center"/>
              <w:rPr>
                <w:color w:val="000000"/>
              </w:rPr>
            </w:pPr>
            <w:r w:rsidRPr="00B75EA4">
              <w:rPr>
                <w:color w:val="000000"/>
              </w:rPr>
              <w:t>72,2</w:t>
            </w:r>
          </w:p>
        </w:tc>
        <w:tc>
          <w:tcPr>
            <w:tcW w:w="1272" w:type="dxa"/>
            <w:shd w:val="clear" w:color="auto" w:fill="auto"/>
            <w:noWrap/>
            <w:vAlign w:val="bottom"/>
            <w:hideMark/>
          </w:tcPr>
          <w:p w:rsidR="008F715D" w:rsidRPr="00B75EA4" w:rsidRDefault="008F715D" w:rsidP="002105A0">
            <w:pPr>
              <w:jc w:val="center"/>
              <w:rPr>
                <w:color w:val="FF0000"/>
              </w:rPr>
            </w:pPr>
            <w:r w:rsidRPr="00B75EA4">
              <w:rPr>
                <w:color w:val="FF0000"/>
              </w:rPr>
              <w:t>-18%</w:t>
            </w:r>
          </w:p>
        </w:tc>
      </w:tr>
      <w:tr w:rsidR="008F715D" w:rsidRPr="007E2CC3" w:rsidTr="002105A0">
        <w:trPr>
          <w:trHeight w:val="393"/>
          <w:jc w:val="center"/>
        </w:trPr>
        <w:tc>
          <w:tcPr>
            <w:tcW w:w="2600" w:type="dxa"/>
            <w:shd w:val="clear" w:color="auto" w:fill="auto"/>
            <w:noWrap/>
            <w:vAlign w:val="bottom"/>
            <w:hideMark/>
          </w:tcPr>
          <w:p w:rsidR="008F715D" w:rsidRPr="00390469" w:rsidRDefault="008F715D" w:rsidP="002105A0">
            <w:pPr>
              <w:rPr>
                <w:b/>
                <w:bCs/>
                <w:color w:val="000000"/>
              </w:rPr>
            </w:pPr>
            <w:r w:rsidRPr="00390469">
              <w:rPr>
                <w:b/>
                <w:bCs/>
                <w:color w:val="000000"/>
              </w:rPr>
              <w:t>TOTAL</w:t>
            </w:r>
          </w:p>
        </w:tc>
        <w:tc>
          <w:tcPr>
            <w:tcW w:w="2057" w:type="dxa"/>
            <w:vAlign w:val="bottom"/>
          </w:tcPr>
          <w:p w:rsidR="008F715D" w:rsidRPr="00390469" w:rsidRDefault="008F715D" w:rsidP="002105A0">
            <w:pPr>
              <w:jc w:val="center"/>
              <w:rPr>
                <w:b/>
                <w:color w:val="000000"/>
              </w:rPr>
            </w:pPr>
            <w:r w:rsidRPr="00390469">
              <w:rPr>
                <w:b/>
                <w:color w:val="000000"/>
              </w:rPr>
              <w:t>129,9</w:t>
            </w:r>
          </w:p>
        </w:tc>
        <w:tc>
          <w:tcPr>
            <w:tcW w:w="2057" w:type="dxa"/>
            <w:shd w:val="clear" w:color="auto" w:fill="auto"/>
            <w:noWrap/>
            <w:vAlign w:val="bottom"/>
            <w:hideMark/>
          </w:tcPr>
          <w:p w:rsidR="008F715D" w:rsidRPr="00390469" w:rsidRDefault="008F715D" w:rsidP="002105A0">
            <w:pPr>
              <w:jc w:val="center"/>
              <w:rPr>
                <w:b/>
                <w:color w:val="000000"/>
              </w:rPr>
            </w:pPr>
            <w:r w:rsidRPr="00390469">
              <w:rPr>
                <w:b/>
                <w:color w:val="000000"/>
              </w:rPr>
              <w:t>98,1</w:t>
            </w:r>
          </w:p>
        </w:tc>
        <w:tc>
          <w:tcPr>
            <w:tcW w:w="1272" w:type="dxa"/>
            <w:shd w:val="clear" w:color="auto" w:fill="auto"/>
            <w:noWrap/>
            <w:vAlign w:val="bottom"/>
            <w:hideMark/>
          </w:tcPr>
          <w:p w:rsidR="008F715D" w:rsidRPr="00390469" w:rsidRDefault="008F715D" w:rsidP="002105A0">
            <w:pPr>
              <w:jc w:val="center"/>
              <w:rPr>
                <w:b/>
                <w:color w:val="FF0000"/>
              </w:rPr>
            </w:pPr>
            <w:r w:rsidRPr="00390469">
              <w:rPr>
                <w:b/>
                <w:color w:val="FF0000"/>
              </w:rPr>
              <w:t>-24,5%</w:t>
            </w:r>
          </w:p>
        </w:tc>
      </w:tr>
    </w:tbl>
    <w:p w:rsidR="008F715D" w:rsidRDefault="008F715D" w:rsidP="008F715D">
      <w:pPr>
        <w:spacing w:line="276" w:lineRule="auto"/>
        <w:jc w:val="both"/>
        <w:rPr>
          <w:rFonts w:asciiTheme="majorBidi" w:hAnsiTheme="majorBidi" w:cstheme="majorBidi"/>
        </w:rPr>
      </w:pPr>
    </w:p>
    <w:p w:rsidR="008F715D" w:rsidRDefault="008F715D" w:rsidP="008F715D">
      <w:pPr>
        <w:spacing w:line="276" w:lineRule="auto"/>
        <w:jc w:val="both"/>
        <w:rPr>
          <w:rFonts w:asciiTheme="majorBidi" w:hAnsiTheme="majorBidi" w:cstheme="majorBidi"/>
        </w:rPr>
      </w:pPr>
    </w:p>
    <w:p w:rsidR="008F715D" w:rsidRDefault="008F715D" w:rsidP="008F715D">
      <w:pPr>
        <w:spacing w:line="276" w:lineRule="auto"/>
        <w:jc w:val="both"/>
        <w:rPr>
          <w:rFonts w:asciiTheme="majorBidi" w:hAnsiTheme="majorBidi" w:cstheme="majorBidi"/>
        </w:rPr>
      </w:pPr>
    </w:p>
    <w:p w:rsidR="008F715D" w:rsidRPr="00B75EA4" w:rsidRDefault="008F715D" w:rsidP="008F715D">
      <w:pPr>
        <w:spacing w:line="276" w:lineRule="auto"/>
        <w:jc w:val="both"/>
        <w:rPr>
          <w:rFonts w:asciiTheme="majorBidi" w:hAnsiTheme="majorBidi" w:cstheme="majorBidi"/>
        </w:rPr>
      </w:pPr>
    </w:p>
    <w:p w:rsidR="008F715D" w:rsidRPr="00B75EA4" w:rsidRDefault="008F715D" w:rsidP="008F715D">
      <w:pPr>
        <w:pStyle w:val="Titre3"/>
        <w:ind w:firstLine="0"/>
        <w:rPr>
          <w:b/>
          <w:bCs/>
          <w:i/>
          <w:iCs/>
          <w:color w:val="0000FF"/>
          <w:sz w:val="24"/>
        </w:rPr>
      </w:pPr>
      <w:bookmarkStart w:id="257" w:name="_Toc462990861"/>
      <w:r>
        <w:rPr>
          <w:b/>
          <w:bCs/>
          <w:i/>
          <w:iCs/>
          <w:color w:val="0000FF"/>
          <w:sz w:val="24"/>
        </w:rPr>
        <w:t>I</w:t>
      </w:r>
      <w:r w:rsidRPr="00B75EA4">
        <w:rPr>
          <w:b/>
          <w:bCs/>
          <w:i/>
          <w:iCs/>
          <w:color w:val="0000FF"/>
          <w:sz w:val="24"/>
        </w:rPr>
        <w:t>I.2</w:t>
      </w:r>
      <w:r>
        <w:rPr>
          <w:b/>
          <w:bCs/>
          <w:i/>
          <w:iCs/>
          <w:color w:val="0000FF"/>
          <w:sz w:val="24"/>
        </w:rPr>
        <w:t>1</w:t>
      </w:r>
      <w:r w:rsidRPr="00B75EA4">
        <w:rPr>
          <w:b/>
          <w:bCs/>
          <w:i/>
          <w:iCs/>
          <w:color w:val="0000FF"/>
          <w:sz w:val="24"/>
        </w:rPr>
        <w:t>.2.1 Investissements et créances impayées</w:t>
      </w:r>
      <w:bookmarkEnd w:id="257"/>
      <w:r w:rsidRPr="00B75EA4">
        <w:rPr>
          <w:b/>
          <w:bCs/>
          <w:i/>
          <w:iCs/>
          <w:color w:val="0000FF"/>
          <w:sz w:val="24"/>
        </w:rPr>
        <w:t xml:space="preserve"> </w:t>
      </w:r>
    </w:p>
    <w:p w:rsidR="008F715D" w:rsidRDefault="008F715D" w:rsidP="008F715D">
      <w:pPr>
        <w:spacing w:line="276" w:lineRule="auto"/>
        <w:jc w:val="both"/>
        <w:rPr>
          <w:rFonts w:asciiTheme="majorBidi" w:hAnsiTheme="majorBidi" w:cstheme="majorBidi"/>
        </w:rPr>
      </w:pPr>
    </w:p>
    <w:p w:rsidR="008F715D" w:rsidRDefault="008F715D" w:rsidP="008F715D">
      <w:pPr>
        <w:spacing w:line="276" w:lineRule="auto"/>
        <w:jc w:val="both"/>
        <w:rPr>
          <w:rFonts w:asciiTheme="majorBidi" w:hAnsiTheme="majorBidi" w:cstheme="majorBidi"/>
        </w:rPr>
      </w:pPr>
      <w:r w:rsidRPr="007E2CC3">
        <w:rPr>
          <w:rFonts w:asciiTheme="majorBidi" w:hAnsiTheme="majorBidi" w:cstheme="majorBidi"/>
        </w:rPr>
        <w:t>Au cours de la période sous revue, les investissements se sont fortement contractés de 92% à 300 millions de FCFA. Dans le même temps, les titres de participation sont restés stables autour de 300 millions de FCFA.</w:t>
      </w:r>
    </w:p>
    <w:p w:rsidR="008F715D" w:rsidRPr="007E2CC3" w:rsidRDefault="008F715D" w:rsidP="008F715D">
      <w:pPr>
        <w:spacing w:line="276" w:lineRule="auto"/>
        <w:jc w:val="both"/>
        <w:rPr>
          <w:rFonts w:asciiTheme="majorBidi" w:hAnsiTheme="majorBidi" w:cstheme="majorBidi"/>
        </w:rPr>
      </w:pPr>
    </w:p>
    <w:p w:rsidR="008F715D" w:rsidRDefault="008F715D" w:rsidP="008F715D">
      <w:pPr>
        <w:spacing w:line="276" w:lineRule="auto"/>
        <w:jc w:val="both"/>
        <w:rPr>
          <w:rFonts w:asciiTheme="majorBidi" w:hAnsiTheme="majorBidi" w:cstheme="majorBidi"/>
        </w:rPr>
      </w:pPr>
      <w:r w:rsidRPr="007E2CC3">
        <w:rPr>
          <w:rFonts w:asciiTheme="majorBidi" w:hAnsiTheme="majorBidi" w:cstheme="majorBidi"/>
        </w:rPr>
        <w:t xml:space="preserve">Par ailleurs, on note une augmentation des créances impayées, </w:t>
      </w:r>
      <w:r>
        <w:rPr>
          <w:rFonts w:asciiTheme="majorBidi" w:hAnsiTheme="majorBidi" w:cstheme="majorBidi"/>
        </w:rPr>
        <w:t xml:space="preserve">qui sont </w:t>
      </w:r>
      <w:r w:rsidRPr="007E2CC3">
        <w:rPr>
          <w:rFonts w:asciiTheme="majorBidi" w:hAnsiTheme="majorBidi" w:cstheme="majorBidi"/>
        </w:rPr>
        <w:t>pass</w:t>
      </w:r>
      <w:r>
        <w:rPr>
          <w:rFonts w:asciiTheme="majorBidi" w:hAnsiTheme="majorBidi" w:cstheme="majorBidi"/>
        </w:rPr>
        <w:t xml:space="preserve">ées </w:t>
      </w:r>
      <w:r w:rsidRPr="007E2CC3">
        <w:rPr>
          <w:rFonts w:asciiTheme="majorBidi" w:hAnsiTheme="majorBidi" w:cstheme="majorBidi"/>
        </w:rPr>
        <w:t>de 3,9 milliards de FCFA en juin 2015 à 5,2 milliards de FCFA en juin 2016, suite à la restructuration des encours d’un opérateur.</w:t>
      </w:r>
    </w:p>
    <w:p w:rsidR="008F715D" w:rsidRPr="007E2CC3" w:rsidRDefault="008F715D" w:rsidP="008F715D">
      <w:pPr>
        <w:spacing w:line="276" w:lineRule="auto"/>
        <w:jc w:val="both"/>
        <w:rPr>
          <w:rFonts w:asciiTheme="majorBidi" w:hAnsiTheme="majorBidi" w:cstheme="majorBidi"/>
        </w:rPr>
      </w:pPr>
    </w:p>
    <w:p w:rsidR="008F715D" w:rsidRPr="007E2CC3" w:rsidRDefault="008F715D" w:rsidP="008F715D">
      <w:pPr>
        <w:ind w:firstLine="708"/>
        <w:rPr>
          <w:b/>
          <w:sz w:val="22"/>
          <w:szCs w:val="22"/>
        </w:rPr>
      </w:pPr>
      <w:r w:rsidRPr="007E2CC3">
        <w:rPr>
          <w:b/>
          <w:sz w:val="22"/>
          <w:szCs w:val="22"/>
        </w:rPr>
        <w:t>Evolution des emplois au premier  trimestre 2016 (en milliards de FCFA)</w:t>
      </w:r>
    </w:p>
    <w:tbl>
      <w:tblPr>
        <w:tblW w:w="7742" w:type="dxa"/>
        <w:jc w:val="center"/>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2474"/>
        <w:gridCol w:w="2057"/>
        <w:gridCol w:w="1997"/>
        <w:gridCol w:w="1214"/>
      </w:tblGrid>
      <w:tr w:rsidR="008F715D" w:rsidRPr="00B37724" w:rsidTr="002105A0">
        <w:trPr>
          <w:trHeight w:val="545"/>
          <w:jc w:val="center"/>
        </w:trPr>
        <w:tc>
          <w:tcPr>
            <w:tcW w:w="2474" w:type="dxa"/>
            <w:shd w:val="clear" w:color="auto" w:fill="auto"/>
            <w:vAlign w:val="bottom"/>
          </w:tcPr>
          <w:p w:rsidR="008F715D" w:rsidRPr="00390469" w:rsidRDefault="008F715D" w:rsidP="002105A0">
            <w:pPr>
              <w:rPr>
                <w:b/>
                <w:bCs/>
                <w:color w:val="000000"/>
              </w:rPr>
            </w:pPr>
            <w:r w:rsidRPr="00390469">
              <w:rPr>
                <w:b/>
                <w:bCs/>
                <w:color w:val="000000"/>
              </w:rPr>
              <w:t>Indicateurs</w:t>
            </w:r>
          </w:p>
        </w:tc>
        <w:tc>
          <w:tcPr>
            <w:tcW w:w="2057" w:type="dxa"/>
            <w:shd w:val="clear" w:color="auto" w:fill="auto"/>
            <w:vAlign w:val="center"/>
          </w:tcPr>
          <w:p w:rsidR="008F715D" w:rsidRPr="00390469" w:rsidRDefault="008F715D" w:rsidP="002105A0">
            <w:pPr>
              <w:jc w:val="center"/>
              <w:rPr>
                <w:b/>
                <w:bCs/>
                <w:color w:val="000000"/>
              </w:rPr>
            </w:pPr>
            <w:r w:rsidRPr="00390469">
              <w:rPr>
                <w:b/>
                <w:bCs/>
                <w:color w:val="000000"/>
              </w:rPr>
              <w:t>2</w:t>
            </w:r>
            <w:r w:rsidRPr="00390469">
              <w:rPr>
                <w:b/>
                <w:bCs/>
                <w:color w:val="000000"/>
                <w:vertAlign w:val="superscript"/>
              </w:rPr>
              <w:t>e</w:t>
            </w:r>
            <w:r w:rsidRPr="00390469">
              <w:rPr>
                <w:b/>
                <w:bCs/>
                <w:color w:val="000000"/>
              </w:rPr>
              <w:t xml:space="preserve">  trimestre 2015</w:t>
            </w:r>
          </w:p>
        </w:tc>
        <w:tc>
          <w:tcPr>
            <w:tcW w:w="1997" w:type="dxa"/>
            <w:shd w:val="clear" w:color="auto" w:fill="auto"/>
            <w:noWrap/>
            <w:vAlign w:val="center"/>
            <w:hideMark/>
          </w:tcPr>
          <w:p w:rsidR="008F715D" w:rsidRPr="00390469" w:rsidRDefault="008F715D" w:rsidP="002105A0">
            <w:pPr>
              <w:jc w:val="center"/>
              <w:rPr>
                <w:b/>
                <w:bCs/>
                <w:color w:val="000000"/>
              </w:rPr>
            </w:pPr>
            <w:r w:rsidRPr="00390469">
              <w:rPr>
                <w:b/>
                <w:bCs/>
                <w:color w:val="000000"/>
              </w:rPr>
              <w:t>2</w:t>
            </w:r>
            <w:r w:rsidRPr="00390469">
              <w:rPr>
                <w:b/>
                <w:bCs/>
                <w:color w:val="000000"/>
                <w:vertAlign w:val="superscript"/>
              </w:rPr>
              <w:t>e</w:t>
            </w:r>
            <w:r w:rsidRPr="00390469">
              <w:rPr>
                <w:b/>
                <w:bCs/>
                <w:color w:val="000000"/>
              </w:rPr>
              <w:t xml:space="preserve"> trimestre 2016</w:t>
            </w:r>
          </w:p>
        </w:tc>
        <w:tc>
          <w:tcPr>
            <w:tcW w:w="1214" w:type="dxa"/>
            <w:shd w:val="clear" w:color="auto" w:fill="auto"/>
            <w:noWrap/>
            <w:vAlign w:val="center"/>
            <w:hideMark/>
          </w:tcPr>
          <w:p w:rsidR="008F715D" w:rsidRPr="00390469" w:rsidRDefault="008F715D" w:rsidP="002105A0">
            <w:pPr>
              <w:jc w:val="center"/>
              <w:rPr>
                <w:b/>
                <w:bCs/>
                <w:color w:val="000000"/>
              </w:rPr>
            </w:pPr>
            <w:r w:rsidRPr="00390469">
              <w:rPr>
                <w:b/>
                <w:bCs/>
                <w:color w:val="000000"/>
              </w:rPr>
              <w:t>var 16/15</w:t>
            </w:r>
          </w:p>
        </w:tc>
      </w:tr>
      <w:tr w:rsidR="008F715D" w:rsidRPr="00B37724" w:rsidTr="002105A0">
        <w:trPr>
          <w:trHeight w:val="407"/>
          <w:jc w:val="center"/>
        </w:trPr>
        <w:tc>
          <w:tcPr>
            <w:tcW w:w="2474" w:type="dxa"/>
            <w:vAlign w:val="bottom"/>
          </w:tcPr>
          <w:p w:rsidR="008F715D" w:rsidRPr="00B75EA4" w:rsidRDefault="008F715D" w:rsidP="002105A0">
            <w:pPr>
              <w:rPr>
                <w:bCs/>
                <w:color w:val="000000"/>
              </w:rPr>
            </w:pPr>
            <w:r w:rsidRPr="00B75EA4">
              <w:rPr>
                <w:bCs/>
                <w:color w:val="000000"/>
              </w:rPr>
              <w:t>Investissements</w:t>
            </w:r>
          </w:p>
        </w:tc>
        <w:tc>
          <w:tcPr>
            <w:tcW w:w="2057" w:type="dxa"/>
            <w:vAlign w:val="center"/>
          </w:tcPr>
          <w:p w:rsidR="008F715D" w:rsidRPr="00B75EA4" w:rsidRDefault="008F715D" w:rsidP="002105A0">
            <w:pPr>
              <w:jc w:val="center"/>
              <w:rPr>
                <w:bCs/>
                <w:color w:val="000000"/>
              </w:rPr>
            </w:pPr>
            <w:r w:rsidRPr="00B75EA4">
              <w:rPr>
                <w:bCs/>
                <w:color w:val="000000"/>
              </w:rPr>
              <w:t>3,6</w:t>
            </w:r>
          </w:p>
        </w:tc>
        <w:tc>
          <w:tcPr>
            <w:tcW w:w="1997" w:type="dxa"/>
            <w:shd w:val="clear" w:color="auto" w:fill="auto"/>
            <w:noWrap/>
            <w:vAlign w:val="center"/>
            <w:hideMark/>
          </w:tcPr>
          <w:p w:rsidR="008F715D" w:rsidRPr="00B75EA4" w:rsidRDefault="008F715D" w:rsidP="002105A0">
            <w:pPr>
              <w:jc w:val="center"/>
              <w:rPr>
                <w:bCs/>
                <w:color w:val="000000"/>
              </w:rPr>
            </w:pPr>
            <w:r w:rsidRPr="00B75EA4">
              <w:rPr>
                <w:bCs/>
                <w:color w:val="000000"/>
              </w:rPr>
              <w:t>0,3</w:t>
            </w:r>
          </w:p>
        </w:tc>
        <w:tc>
          <w:tcPr>
            <w:tcW w:w="1214" w:type="dxa"/>
            <w:shd w:val="clear" w:color="auto" w:fill="auto"/>
            <w:noWrap/>
            <w:vAlign w:val="center"/>
            <w:hideMark/>
          </w:tcPr>
          <w:p w:rsidR="008F715D" w:rsidRPr="00B75EA4" w:rsidRDefault="008F715D" w:rsidP="002105A0">
            <w:pPr>
              <w:jc w:val="center"/>
              <w:rPr>
                <w:bCs/>
                <w:color w:val="FF0000"/>
              </w:rPr>
            </w:pPr>
            <w:r w:rsidRPr="00B75EA4">
              <w:rPr>
                <w:bCs/>
                <w:color w:val="FF0000"/>
              </w:rPr>
              <w:t>-92%</w:t>
            </w:r>
          </w:p>
        </w:tc>
      </w:tr>
      <w:tr w:rsidR="008F715D" w:rsidRPr="00B37724" w:rsidTr="002105A0">
        <w:trPr>
          <w:trHeight w:val="350"/>
          <w:jc w:val="center"/>
        </w:trPr>
        <w:tc>
          <w:tcPr>
            <w:tcW w:w="2474" w:type="dxa"/>
            <w:vAlign w:val="bottom"/>
          </w:tcPr>
          <w:p w:rsidR="008F715D" w:rsidRPr="00B75EA4" w:rsidRDefault="008F715D" w:rsidP="002105A0">
            <w:pPr>
              <w:rPr>
                <w:bCs/>
                <w:color w:val="000000"/>
              </w:rPr>
            </w:pPr>
            <w:r w:rsidRPr="00B75EA4">
              <w:rPr>
                <w:bCs/>
                <w:color w:val="000000"/>
              </w:rPr>
              <w:t>Titres de participation</w:t>
            </w:r>
          </w:p>
        </w:tc>
        <w:tc>
          <w:tcPr>
            <w:tcW w:w="2057" w:type="dxa"/>
            <w:vAlign w:val="center"/>
          </w:tcPr>
          <w:p w:rsidR="008F715D" w:rsidRPr="00B75EA4" w:rsidRDefault="008F715D" w:rsidP="002105A0">
            <w:pPr>
              <w:jc w:val="center"/>
              <w:rPr>
                <w:color w:val="000000"/>
              </w:rPr>
            </w:pPr>
            <w:r w:rsidRPr="00B75EA4">
              <w:rPr>
                <w:color w:val="000000"/>
              </w:rPr>
              <w:t>0,3</w:t>
            </w:r>
          </w:p>
        </w:tc>
        <w:tc>
          <w:tcPr>
            <w:tcW w:w="1997" w:type="dxa"/>
            <w:shd w:val="clear" w:color="auto" w:fill="auto"/>
            <w:noWrap/>
            <w:vAlign w:val="center"/>
            <w:hideMark/>
          </w:tcPr>
          <w:p w:rsidR="008F715D" w:rsidRPr="00B75EA4" w:rsidRDefault="008F715D" w:rsidP="002105A0">
            <w:pPr>
              <w:jc w:val="center"/>
              <w:rPr>
                <w:color w:val="000000"/>
              </w:rPr>
            </w:pPr>
            <w:r w:rsidRPr="00B75EA4">
              <w:rPr>
                <w:color w:val="000000"/>
              </w:rPr>
              <w:t>0,3</w:t>
            </w:r>
          </w:p>
        </w:tc>
        <w:tc>
          <w:tcPr>
            <w:tcW w:w="1214" w:type="dxa"/>
            <w:shd w:val="clear" w:color="auto" w:fill="auto"/>
            <w:noWrap/>
            <w:vAlign w:val="center"/>
            <w:hideMark/>
          </w:tcPr>
          <w:p w:rsidR="008F715D" w:rsidRPr="00B75EA4" w:rsidRDefault="008F715D" w:rsidP="002105A0">
            <w:pPr>
              <w:jc w:val="center"/>
              <w:rPr>
                <w:bCs/>
              </w:rPr>
            </w:pPr>
            <w:r w:rsidRPr="00B75EA4">
              <w:rPr>
                <w:bCs/>
              </w:rPr>
              <w:t>0,0%</w:t>
            </w:r>
          </w:p>
        </w:tc>
      </w:tr>
      <w:tr w:rsidR="008F715D" w:rsidRPr="00B37724" w:rsidTr="002105A0">
        <w:trPr>
          <w:trHeight w:val="391"/>
          <w:jc w:val="center"/>
        </w:trPr>
        <w:tc>
          <w:tcPr>
            <w:tcW w:w="2474" w:type="dxa"/>
            <w:vAlign w:val="bottom"/>
          </w:tcPr>
          <w:p w:rsidR="008F715D" w:rsidRPr="00B75EA4" w:rsidRDefault="008F715D" w:rsidP="002105A0">
            <w:pPr>
              <w:rPr>
                <w:bCs/>
                <w:color w:val="000000"/>
              </w:rPr>
            </w:pPr>
            <w:r w:rsidRPr="00B75EA4">
              <w:rPr>
                <w:bCs/>
                <w:color w:val="000000"/>
              </w:rPr>
              <w:t xml:space="preserve">créances impayées </w:t>
            </w:r>
          </w:p>
        </w:tc>
        <w:tc>
          <w:tcPr>
            <w:tcW w:w="2057" w:type="dxa"/>
            <w:vAlign w:val="center"/>
          </w:tcPr>
          <w:p w:rsidR="008F715D" w:rsidRPr="00B75EA4" w:rsidRDefault="008F715D" w:rsidP="002105A0">
            <w:pPr>
              <w:jc w:val="center"/>
              <w:rPr>
                <w:color w:val="000000"/>
              </w:rPr>
            </w:pPr>
            <w:r w:rsidRPr="00B75EA4">
              <w:rPr>
                <w:color w:val="000000"/>
              </w:rPr>
              <w:t>3,9</w:t>
            </w:r>
          </w:p>
        </w:tc>
        <w:tc>
          <w:tcPr>
            <w:tcW w:w="1997" w:type="dxa"/>
            <w:shd w:val="clear" w:color="auto" w:fill="auto"/>
            <w:noWrap/>
            <w:vAlign w:val="center"/>
            <w:hideMark/>
          </w:tcPr>
          <w:p w:rsidR="008F715D" w:rsidRPr="00B75EA4" w:rsidRDefault="008F715D" w:rsidP="002105A0">
            <w:pPr>
              <w:jc w:val="center"/>
              <w:rPr>
                <w:color w:val="000000"/>
              </w:rPr>
            </w:pPr>
            <w:r w:rsidRPr="00B75EA4">
              <w:rPr>
                <w:color w:val="000000"/>
              </w:rPr>
              <w:t>5,2</w:t>
            </w:r>
          </w:p>
        </w:tc>
        <w:tc>
          <w:tcPr>
            <w:tcW w:w="1214" w:type="dxa"/>
            <w:shd w:val="clear" w:color="auto" w:fill="auto"/>
            <w:noWrap/>
            <w:vAlign w:val="center"/>
            <w:hideMark/>
          </w:tcPr>
          <w:p w:rsidR="008F715D" w:rsidRPr="00B75EA4" w:rsidRDefault="008F715D" w:rsidP="002105A0">
            <w:pPr>
              <w:jc w:val="center"/>
              <w:rPr>
                <w:bCs/>
              </w:rPr>
            </w:pPr>
            <w:r w:rsidRPr="00B75EA4">
              <w:rPr>
                <w:bCs/>
              </w:rPr>
              <w:t>32%</w:t>
            </w:r>
          </w:p>
        </w:tc>
      </w:tr>
    </w:tbl>
    <w:p w:rsidR="008F715D" w:rsidRPr="005D514F" w:rsidRDefault="008F715D" w:rsidP="008F715D">
      <w:pPr>
        <w:ind w:firstLine="708"/>
        <w:rPr>
          <w:sz w:val="20"/>
          <w:szCs w:val="20"/>
        </w:rPr>
      </w:pPr>
      <w:r w:rsidRPr="005D514F">
        <w:rPr>
          <w:sz w:val="20"/>
          <w:szCs w:val="20"/>
        </w:rPr>
        <w:t>Source : établissements  financiers</w:t>
      </w:r>
    </w:p>
    <w:p w:rsidR="008F715D" w:rsidRPr="00E02A03" w:rsidRDefault="008F715D" w:rsidP="008F715D"/>
    <w:p w:rsidR="008F715D" w:rsidRDefault="008F715D" w:rsidP="008F715D">
      <w:pPr>
        <w:jc w:val="both"/>
        <w:rPr>
          <w:color w:val="000000" w:themeColor="text1"/>
        </w:rPr>
      </w:pPr>
      <w:bookmarkStart w:id="258" w:name="_Toc423356857"/>
      <w:bookmarkStart w:id="259" w:name="_Toc356949414"/>
    </w:p>
    <w:p w:rsidR="008F715D" w:rsidRDefault="008F715D" w:rsidP="008F715D">
      <w:pPr>
        <w:spacing w:after="200" w:line="276" w:lineRule="auto"/>
        <w:rPr>
          <w:color w:val="000000" w:themeColor="text1"/>
        </w:rPr>
      </w:pPr>
      <w:r>
        <w:rPr>
          <w:color w:val="000000" w:themeColor="text1"/>
        </w:rPr>
        <w:br w:type="page"/>
      </w:r>
    </w:p>
    <w:p w:rsidR="008F715D" w:rsidRDefault="008F715D" w:rsidP="008F715D">
      <w:pPr>
        <w:jc w:val="both"/>
        <w:rPr>
          <w:color w:val="000000" w:themeColor="text1"/>
        </w:rPr>
      </w:pPr>
    </w:p>
    <w:p w:rsidR="008F715D" w:rsidRPr="00393CDB" w:rsidRDefault="008F715D" w:rsidP="008F715D">
      <w:pPr>
        <w:pStyle w:val="Titre1"/>
        <w:keepLines/>
        <w:pBdr>
          <w:top w:val="single" w:sz="4" w:space="1" w:color="31849B" w:themeColor="accent5" w:themeShade="BF"/>
          <w:bottom w:val="double" w:sz="4" w:space="1" w:color="auto"/>
        </w:pBdr>
        <w:shd w:val="clear" w:color="auto" w:fill="DAEEF3" w:themeFill="accent5" w:themeFillTint="33"/>
        <w:spacing w:before="480" w:after="240" w:line="276" w:lineRule="auto"/>
        <w:rPr>
          <w:color w:val="0000FF"/>
          <w:szCs w:val="28"/>
        </w:rPr>
      </w:pPr>
      <w:bookmarkStart w:id="260" w:name="_Toc389653180"/>
      <w:bookmarkStart w:id="261" w:name="_Toc389653408"/>
      <w:bookmarkStart w:id="262" w:name="_Toc427249333"/>
      <w:bookmarkStart w:id="263" w:name="_Toc453833469"/>
      <w:bookmarkStart w:id="264" w:name="_Toc462990862"/>
      <w:bookmarkEnd w:id="258"/>
      <w:bookmarkEnd w:id="259"/>
      <w:r w:rsidRPr="00393CDB">
        <w:rPr>
          <w:color w:val="0000FF"/>
          <w:szCs w:val="28"/>
        </w:rPr>
        <w:t>TROISIEME PARTIE : LES GRANDEURS MACROECONOMIQUES AU PREMIER TRIMESTRE 201</w:t>
      </w:r>
      <w:bookmarkEnd w:id="260"/>
      <w:bookmarkEnd w:id="261"/>
      <w:bookmarkEnd w:id="262"/>
      <w:r w:rsidRPr="00393CDB">
        <w:rPr>
          <w:color w:val="0000FF"/>
          <w:szCs w:val="28"/>
        </w:rPr>
        <w:t>6</w:t>
      </w:r>
      <w:bookmarkEnd w:id="263"/>
      <w:bookmarkEnd w:id="264"/>
    </w:p>
    <w:p w:rsidR="008F715D" w:rsidRPr="00B75EA4" w:rsidRDefault="008F715D" w:rsidP="008F715D">
      <w:pPr>
        <w:jc w:val="both"/>
        <w:rPr>
          <w:color w:val="000000" w:themeColor="text1"/>
        </w:rPr>
      </w:pPr>
      <w:bookmarkStart w:id="265" w:name="_Toc436475101"/>
      <w:bookmarkStart w:id="266" w:name="_Toc446528839"/>
      <w:bookmarkStart w:id="267" w:name="_Toc453833470"/>
    </w:p>
    <w:p w:rsidR="008F715D" w:rsidRPr="00393CDB" w:rsidRDefault="008F715D" w:rsidP="008F715D">
      <w:pPr>
        <w:pStyle w:val="Titre2"/>
        <w:rPr>
          <w:b/>
          <w:bCs/>
          <w:i w:val="0"/>
          <w:color w:val="0000FF"/>
          <w:sz w:val="24"/>
        </w:rPr>
      </w:pPr>
      <w:bookmarkStart w:id="268" w:name="_Toc462990863"/>
      <w:r w:rsidRPr="00393CDB">
        <w:rPr>
          <w:b/>
          <w:bCs/>
          <w:i w:val="0"/>
          <w:color w:val="0000FF"/>
          <w:sz w:val="24"/>
        </w:rPr>
        <w:t>III.1</w:t>
      </w:r>
      <w:r>
        <w:rPr>
          <w:b/>
          <w:bCs/>
          <w:i w:val="0"/>
          <w:color w:val="0000FF"/>
          <w:sz w:val="24"/>
        </w:rPr>
        <w:t>.</w:t>
      </w:r>
      <w:r w:rsidRPr="00393CDB">
        <w:rPr>
          <w:b/>
          <w:bCs/>
          <w:i w:val="0"/>
          <w:color w:val="0000FF"/>
          <w:sz w:val="24"/>
        </w:rPr>
        <w:t xml:space="preserve"> LES PRIX A LA CONSOMMATION</w:t>
      </w:r>
      <w:bookmarkEnd w:id="265"/>
      <w:bookmarkEnd w:id="266"/>
      <w:bookmarkEnd w:id="267"/>
      <w:bookmarkEnd w:id="268"/>
    </w:p>
    <w:p w:rsidR="008F715D" w:rsidRDefault="008F715D" w:rsidP="008F715D"/>
    <w:p w:rsidR="008F715D" w:rsidRPr="00B30781" w:rsidRDefault="008F715D" w:rsidP="008F715D">
      <w:pPr>
        <w:spacing w:after="240" w:line="276" w:lineRule="auto"/>
        <w:jc w:val="both"/>
        <w:rPr>
          <w:rFonts w:eastAsia="Calibri"/>
          <w:color w:val="000000" w:themeColor="text1"/>
        </w:rPr>
      </w:pPr>
      <w:r w:rsidRPr="00B30781">
        <w:rPr>
          <w:rFonts w:eastAsia="Calibri"/>
          <w:color w:val="000000" w:themeColor="text1"/>
        </w:rPr>
        <w:t xml:space="preserve">Le premier semestre 2016 a été caractérisé par une légère hausse des prix à la consommation par rapport à la même période en 2015. En effet, l’indice harmonisé des prix à la consommation a progressé de 0,7% sur les six premiers mois. En  glissement </w:t>
      </w:r>
      <w:r>
        <w:rPr>
          <w:rFonts w:eastAsia="Calibri"/>
          <w:color w:val="000000" w:themeColor="text1"/>
        </w:rPr>
        <w:t>annuel</w:t>
      </w:r>
      <w:r w:rsidRPr="00B30781">
        <w:rPr>
          <w:rFonts w:eastAsia="Calibri"/>
          <w:color w:val="000000" w:themeColor="text1"/>
        </w:rPr>
        <w:t>, les prix ont cru de 1,3% en juin 2016 par rapport à juin 2015.</w:t>
      </w:r>
    </w:p>
    <w:p w:rsidR="008F715D" w:rsidRPr="00B30781" w:rsidRDefault="008F715D" w:rsidP="008F715D">
      <w:pPr>
        <w:spacing w:after="240" w:line="276" w:lineRule="auto"/>
        <w:jc w:val="both"/>
        <w:rPr>
          <w:rFonts w:eastAsia="Calibri"/>
          <w:color w:val="000000" w:themeColor="text1"/>
        </w:rPr>
      </w:pPr>
      <w:r w:rsidRPr="00B30781">
        <w:rPr>
          <w:rFonts w:eastAsia="Calibri"/>
          <w:color w:val="000000" w:themeColor="text1"/>
        </w:rPr>
        <w:t xml:space="preserve">Cette augmentation observée des prix s’explique principalement par la hausse des prix de certaines fonctions : transport (+11,1%), meubles, articles de ménage et entretien courant de la maison (+5,2%), loisirs et culture (+10,5%), restaurants et hôtels (+4,1%), santé (+0,2%) et biens et services divers (+32,8%). </w:t>
      </w:r>
    </w:p>
    <w:p w:rsidR="008F715D" w:rsidRPr="00A125D0" w:rsidRDefault="008F715D" w:rsidP="008F715D">
      <w:pPr>
        <w:spacing w:after="240"/>
        <w:jc w:val="both"/>
        <w:rPr>
          <w:rFonts w:eastAsia="Calibri"/>
          <w:color w:val="000000" w:themeColor="text1"/>
        </w:rPr>
      </w:pPr>
      <w:r w:rsidRPr="002205E6">
        <w:rPr>
          <w:rFonts w:eastAsia="Calibri"/>
          <w:color w:val="000000" w:themeColor="text1"/>
        </w:rPr>
        <w:t xml:space="preserve">Ces hausses ont </w:t>
      </w:r>
      <w:r w:rsidRPr="002205E6">
        <w:rPr>
          <w:rFonts w:eastAsia="Calibri"/>
        </w:rPr>
        <w:t xml:space="preserve">été atténuées </w:t>
      </w:r>
      <w:r w:rsidRPr="002205E6">
        <w:rPr>
          <w:rFonts w:eastAsia="Calibri"/>
          <w:color w:val="000000" w:themeColor="text1"/>
        </w:rPr>
        <w:t>par la baisse des prix des fonctions suivantes : produits alimentaires et boissons non alcoolisées (-0,1%), logement, eau, gaz, électricité et autres combustibles (-3,9%), articles d’habillement et chaussures (-0,4%) et Communications (-34,8%).</w:t>
      </w:r>
    </w:p>
    <w:p w:rsidR="008F715D" w:rsidRDefault="008F715D" w:rsidP="008F715D">
      <w:pPr>
        <w:rPr>
          <w:rFonts w:eastAsia="Calibri"/>
          <w:b/>
          <w:i/>
        </w:rPr>
      </w:pPr>
      <w:r w:rsidRPr="007B12F6">
        <w:rPr>
          <w:rFonts w:eastAsia="Calibri"/>
          <w:b/>
          <w:i/>
        </w:rPr>
        <w:t>Evolution de l’indice des prix à la consommation des ménages à Libreville</w:t>
      </w:r>
    </w:p>
    <w:p w:rsidR="008F715D" w:rsidRPr="007B12F6" w:rsidRDefault="008F715D" w:rsidP="008F715D">
      <w:pPr>
        <w:rPr>
          <w:rFonts w:eastAsia="Calibri"/>
          <w:b/>
          <w:i/>
        </w:rPr>
      </w:pPr>
    </w:p>
    <w:tbl>
      <w:tblPr>
        <w:tblW w:w="10535" w:type="dxa"/>
        <w:tblInd w:w="-639" w:type="dxa"/>
        <w:tblCellMar>
          <w:left w:w="70" w:type="dxa"/>
          <w:right w:w="70" w:type="dxa"/>
        </w:tblCellMar>
        <w:tblLook w:val="04A0"/>
      </w:tblPr>
      <w:tblGrid>
        <w:gridCol w:w="4414"/>
        <w:gridCol w:w="996"/>
        <w:gridCol w:w="855"/>
        <w:gridCol w:w="996"/>
        <w:gridCol w:w="854"/>
        <w:gridCol w:w="933"/>
        <w:gridCol w:w="1487"/>
      </w:tblGrid>
      <w:tr w:rsidR="008F715D" w:rsidRPr="00B30781" w:rsidTr="002105A0">
        <w:trPr>
          <w:trHeight w:val="215"/>
        </w:trPr>
        <w:tc>
          <w:tcPr>
            <w:tcW w:w="4414" w:type="dxa"/>
            <w:vMerge w:val="restart"/>
            <w:tcBorders>
              <w:top w:val="single" w:sz="12" w:space="0" w:color="0070C0"/>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ind w:firstLineChars="100" w:firstLine="201"/>
              <w:rPr>
                <w:b/>
                <w:bCs/>
                <w:sz w:val="20"/>
                <w:szCs w:val="20"/>
              </w:rPr>
            </w:pPr>
            <w:r w:rsidRPr="00B30781">
              <w:rPr>
                <w:b/>
                <w:bCs/>
                <w:sz w:val="20"/>
                <w:szCs w:val="20"/>
              </w:rPr>
              <w:t>Regroupements</w:t>
            </w:r>
          </w:p>
        </w:tc>
        <w:tc>
          <w:tcPr>
            <w:tcW w:w="996" w:type="dxa"/>
            <w:vMerge w:val="restart"/>
            <w:tcBorders>
              <w:top w:val="single" w:sz="12" w:space="0" w:color="0070C0"/>
              <w:left w:val="single" w:sz="12" w:space="0" w:color="0070C0"/>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Pond</w:t>
            </w:r>
          </w:p>
        </w:tc>
        <w:tc>
          <w:tcPr>
            <w:tcW w:w="3638" w:type="dxa"/>
            <w:gridSpan w:val="4"/>
            <w:tcBorders>
              <w:top w:val="single" w:sz="12" w:space="0" w:color="0070C0"/>
              <w:left w:val="nil"/>
              <w:bottom w:val="single" w:sz="12" w:space="0" w:color="0070C0"/>
              <w:right w:val="single" w:sz="12" w:space="0" w:color="0070C0"/>
            </w:tcBorders>
            <w:shd w:val="clear" w:color="auto" w:fill="auto"/>
            <w:vAlign w:val="center"/>
            <w:hideMark/>
          </w:tcPr>
          <w:p w:rsidR="008F715D" w:rsidRPr="00B30781" w:rsidRDefault="008F715D" w:rsidP="002105A0">
            <w:pPr>
              <w:jc w:val="center"/>
              <w:rPr>
                <w:b/>
                <w:bCs/>
                <w:sz w:val="20"/>
                <w:szCs w:val="20"/>
              </w:rPr>
            </w:pPr>
            <w:r>
              <w:rPr>
                <w:b/>
                <w:bCs/>
                <w:sz w:val="20"/>
                <w:szCs w:val="20"/>
              </w:rPr>
              <w:t>1</w:t>
            </w:r>
            <w:r w:rsidRPr="00F5370A">
              <w:rPr>
                <w:b/>
                <w:bCs/>
                <w:sz w:val="20"/>
                <w:szCs w:val="20"/>
                <w:vertAlign w:val="superscript"/>
              </w:rPr>
              <w:t>er</w:t>
            </w:r>
            <w:r>
              <w:rPr>
                <w:b/>
                <w:bCs/>
                <w:sz w:val="20"/>
                <w:szCs w:val="20"/>
              </w:rPr>
              <w:t xml:space="preserve"> semestre</w:t>
            </w:r>
            <w:r w:rsidRPr="00B30781">
              <w:rPr>
                <w:b/>
                <w:bCs/>
                <w:sz w:val="20"/>
                <w:szCs w:val="20"/>
              </w:rPr>
              <w:t> </w:t>
            </w:r>
          </w:p>
        </w:tc>
        <w:tc>
          <w:tcPr>
            <w:tcW w:w="1487" w:type="dxa"/>
            <w:vMerge w:val="restart"/>
            <w:tcBorders>
              <w:top w:val="single" w:sz="12" w:space="0" w:color="0070C0"/>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jc w:val="center"/>
              <w:rPr>
                <w:b/>
                <w:bCs/>
                <w:sz w:val="20"/>
                <w:szCs w:val="20"/>
              </w:rPr>
            </w:pPr>
            <w:r w:rsidRPr="00B30781">
              <w:rPr>
                <w:b/>
                <w:bCs/>
                <w:sz w:val="20"/>
                <w:szCs w:val="20"/>
              </w:rPr>
              <w:t>Glissement (%)</w:t>
            </w:r>
          </w:p>
        </w:tc>
      </w:tr>
      <w:tr w:rsidR="008F715D" w:rsidRPr="00B30781" w:rsidTr="002105A0">
        <w:trPr>
          <w:trHeight w:val="194"/>
        </w:trPr>
        <w:tc>
          <w:tcPr>
            <w:tcW w:w="4414"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B30781" w:rsidRDefault="008F715D" w:rsidP="002105A0">
            <w:pPr>
              <w:rPr>
                <w:b/>
                <w:bCs/>
                <w:sz w:val="20"/>
                <w:szCs w:val="20"/>
              </w:rPr>
            </w:pPr>
          </w:p>
        </w:tc>
        <w:tc>
          <w:tcPr>
            <w:tcW w:w="996"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B30781" w:rsidRDefault="008F715D" w:rsidP="002105A0">
            <w:pPr>
              <w:rPr>
                <w:b/>
                <w:bCs/>
                <w:sz w:val="20"/>
                <w:szCs w:val="20"/>
              </w:rPr>
            </w:pPr>
          </w:p>
        </w:tc>
        <w:tc>
          <w:tcPr>
            <w:tcW w:w="855" w:type="dxa"/>
            <w:vMerge w:val="restart"/>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jc w:val="center"/>
              <w:rPr>
                <w:b/>
                <w:bCs/>
                <w:sz w:val="20"/>
                <w:szCs w:val="20"/>
              </w:rPr>
            </w:pPr>
            <w:r w:rsidRPr="00B30781">
              <w:rPr>
                <w:b/>
                <w:bCs/>
                <w:sz w:val="20"/>
                <w:szCs w:val="20"/>
              </w:rPr>
              <w:t>2015</w:t>
            </w:r>
          </w:p>
        </w:tc>
        <w:tc>
          <w:tcPr>
            <w:tcW w:w="996" w:type="dxa"/>
            <w:vMerge w:val="restart"/>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jc w:val="center"/>
              <w:rPr>
                <w:b/>
                <w:bCs/>
                <w:sz w:val="20"/>
                <w:szCs w:val="20"/>
              </w:rPr>
            </w:pPr>
            <w:r w:rsidRPr="00B30781">
              <w:rPr>
                <w:b/>
                <w:bCs/>
                <w:sz w:val="20"/>
                <w:szCs w:val="20"/>
              </w:rPr>
              <w:t>2016</w:t>
            </w:r>
          </w:p>
        </w:tc>
        <w:tc>
          <w:tcPr>
            <w:tcW w:w="1787" w:type="dxa"/>
            <w:gridSpan w:val="2"/>
            <w:tcBorders>
              <w:top w:val="single" w:sz="12" w:space="0" w:color="0070C0"/>
              <w:left w:val="nil"/>
              <w:bottom w:val="single" w:sz="12" w:space="0" w:color="0070C0"/>
              <w:right w:val="single" w:sz="12" w:space="0" w:color="0070C0"/>
            </w:tcBorders>
            <w:shd w:val="clear" w:color="auto" w:fill="auto"/>
            <w:vAlign w:val="center"/>
            <w:hideMark/>
          </w:tcPr>
          <w:p w:rsidR="008F715D" w:rsidRPr="00B30781" w:rsidRDefault="008F715D" w:rsidP="002105A0">
            <w:pPr>
              <w:jc w:val="center"/>
              <w:rPr>
                <w:b/>
                <w:bCs/>
                <w:sz w:val="20"/>
                <w:szCs w:val="20"/>
              </w:rPr>
            </w:pPr>
            <w:r w:rsidRPr="00B30781">
              <w:rPr>
                <w:b/>
                <w:bCs/>
                <w:sz w:val="20"/>
                <w:szCs w:val="20"/>
              </w:rPr>
              <w:t>Moyenne (%)</w:t>
            </w:r>
          </w:p>
        </w:tc>
        <w:tc>
          <w:tcPr>
            <w:tcW w:w="1487"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B30781" w:rsidRDefault="008F715D" w:rsidP="002105A0">
            <w:pPr>
              <w:rPr>
                <w:b/>
                <w:bCs/>
                <w:sz w:val="20"/>
                <w:szCs w:val="20"/>
              </w:rPr>
            </w:pPr>
          </w:p>
        </w:tc>
      </w:tr>
      <w:tr w:rsidR="008F715D" w:rsidRPr="00B30781" w:rsidTr="002105A0">
        <w:trPr>
          <w:trHeight w:val="66"/>
        </w:trPr>
        <w:tc>
          <w:tcPr>
            <w:tcW w:w="4414"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B30781" w:rsidRDefault="008F715D" w:rsidP="002105A0">
            <w:pPr>
              <w:rPr>
                <w:b/>
                <w:bCs/>
                <w:sz w:val="20"/>
                <w:szCs w:val="20"/>
              </w:rPr>
            </w:pPr>
          </w:p>
        </w:tc>
        <w:tc>
          <w:tcPr>
            <w:tcW w:w="996"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B30781" w:rsidRDefault="008F715D" w:rsidP="002105A0">
            <w:pPr>
              <w:rPr>
                <w:b/>
                <w:bCs/>
                <w:sz w:val="20"/>
                <w:szCs w:val="20"/>
              </w:rPr>
            </w:pPr>
          </w:p>
        </w:tc>
        <w:tc>
          <w:tcPr>
            <w:tcW w:w="855" w:type="dxa"/>
            <w:vMerge/>
            <w:tcBorders>
              <w:top w:val="nil"/>
              <w:left w:val="single" w:sz="12" w:space="0" w:color="0070C0"/>
              <w:bottom w:val="single" w:sz="12" w:space="0" w:color="0070C0"/>
              <w:right w:val="single" w:sz="12" w:space="0" w:color="0070C0"/>
            </w:tcBorders>
            <w:vAlign w:val="center"/>
            <w:hideMark/>
          </w:tcPr>
          <w:p w:rsidR="008F715D" w:rsidRPr="00B30781" w:rsidRDefault="008F715D" w:rsidP="002105A0">
            <w:pPr>
              <w:rPr>
                <w:b/>
                <w:bCs/>
                <w:sz w:val="20"/>
                <w:szCs w:val="20"/>
              </w:rPr>
            </w:pPr>
          </w:p>
        </w:tc>
        <w:tc>
          <w:tcPr>
            <w:tcW w:w="996" w:type="dxa"/>
            <w:vMerge/>
            <w:tcBorders>
              <w:top w:val="nil"/>
              <w:left w:val="single" w:sz="12" w:space="0" w:color="0070C0"/>
              <w:bottom w:val="single" w:sz="12" w:space="0" w:color="0070C0"/>
              <w:right w:val="single" w:sz="12" w:space="0" w:color="0070C0"/>
            </w:tcBorders>
            <w:vAlign w:val="center"/>
            <w:hideMark/>
          </w:tcPr>
          <w:p w:rsidR="008F715D" w:rsidRPr="00B30781" w:rsidRDefault="008F715D" w:rsidP="002105A0">
            <w:pPr>
              <w:rPr>
                <w:b/>
                <w:bCs/>
                <w:sz w:val="20"/>
                <w:szCs w:val="20"/>
              </w:rPr>
            </w:pPr>
          </w:p>
        </w:tc>
        <w:tc>
          <w:tcPr>
            <w:tcW w:w="854" w:type="dxa"/>
            <w:tcBorders>
              <w:top w:val="nil"/>
              <w:left w:val="nil"/>
              <w:bottom w:val="single" w:sz="12" w:space="0" w:color="0070C0"/>
              <w:right w:val="single" w:sz="12" w:space="0" w:color="0070C0"/>
            </w:tcBorders>
            <w:shd w:val="clear" w:color="auto" w:fill="auto"/>
            <w:vAlign w:val="center"/>
            <w:hideMark/>
          </w:tcPr>
          <w:p w:rsidR="008F715D" w:rsidRPr="00B30781" w:rsidRDefault="008F715D" w:rsidP="002105A0">
            <w:pPr>
              <w:jc w:val="center"/>
              <w:rPr>
                <w:b/>
                <w:bCs/>
                <w:sz w:val="20"/>
                <w:szCs w:val="20"/>
              </w:rPr>
            </w:pPr>
            <w:r w:rsidRPr="00B30781">
              <w:rPr>
                <w:b/>
                <w:bCs/>
                <w:sz w:val="20"/>
                <w:szCs w:val="20"/>
              </w:rPr>
              <w:t>2015</w:t>
            </w:r>
          </w:p>
        </w:tc>
        <w:tc>
          <w:tcPr>
            <w:tcW w:w="933" w:type="dxa"/>
            <w:tcBorders>
              <w:top w:val="nil"/>
              <w:left w:val="nil"/>
              <w:bottom w:val="single" w:sz="12" w:space="0" w:color="0070C0"/>
              <w:right w:val="single" w:sz="12" w:space="0" w:color="0070C0"/>
            </w:tcBorders>
            <w:shd w:val="clear" w:color="auto" w:fill="auto"/>
            <w:vAlign w:val="center"/>
            <w:hideMark/>
          </w:tcPr>
          <w:p w:rsidR="008F715D" w:rsidRPr="00B30781" w:rsidRDefault="008F715D" w:rsidP="002105A0">
            <w:pPr>
              <w:jc w:val="center"/>
              <w:rPr>
                <w:b/>
                <w:bCs/>
                <w:sz w:val="20"/>
                <w:szCs w:val="20"/>
              </w:rPr>
            </w:pPr>
            <w:r w:rsidRPr="00B30781">
              <w:rPr>
                <w:b/>
                <w:bCs/>
                <w:sz w:val="20"/>
                <w:szCs w:val="20"/>
              </w:rPr>
              <w:t>2016</w:t>
            </w:r>
          </w:p>
        </w:tc>
        <w:tc>
          <w:tcPr>
            <w:tcW w:w="1487"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B30781" w:rsidRDefault="008F715D" w:rsidP="002105A0">
            <w:pPr>
              <w:rPr>
                <w:b/>
                <w:bCs/>
                <w:sz w:val="20"/>
                <w:szCs w:val="20"/>
              </w:rPr>
            </w:pPr>
          </w:p>
        </w:tc>
      </w:tr>
      <w:tr w:rsidR="008F715D" w:rsidRPr="00B30781" w:rsidTr="002105A0">
        <w:trPr>
          <w:trHeight w:val="138"/>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rPr>
                <w:b/>
                <w:bCs/>
                <w:sz w:val="20"/>
                <w:szCs w:val="20"/>
              </w:rPr>
            </w:pPr>
            <w:r w:rsidRPr="00B30781">
              <w:rPr>
                <w:b/>
                <w:bCs/>
                <w:sz w:val="20"/>
                <w:szCs w:val="20"/>
              </w:rPr>
              <w:t>INDICE GLOBAL</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10000</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127,8</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b/>
                <w:bCs/>
                <w:sz w:val="20"/>
                <w:szCs w:val="20"/>
              </w:rPr>
            </w:pPr>
            <w:r w:rsidRPr="00B30781">
              <w:rPr>
                <w:b/>
                <w:bCs/>
                <w:sz w:val="20"/>
                <w:szCs w:val="20"/>
              </w:rPr>
              <w:t>128,7</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0,0</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b/>
                <w:bCs/>
                <w:sz w:val="20"/>
                <w:szCs w:val="20"/>
              </w:rPr>
            </w:pPr>
            <w:r w:rsidRPr="00B30781">
              <w:rPr>
                <w:b/>
                <w:bCs/>
                <w:sz w:val="20"/>
                <w:szCs w:val="20"/>
              </w:rPr>
              <w:t>0,7</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1,3</w:t>
            </w:r>
          </w:p>
        </w:tc>
      </w:tr>
      <w:tr w:rsidR="008F715D" w:rsidRPr="00B30781" w:rsidTr="002105A0">
        <w:trPr>
          <w:trHeight w:val="101"/>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rPr>
                <w:b/>
                <w:bCs/>
                <w:sz w:val="20"/>
                <w:szCs w:val="20"/>
              </w:rPr>
            </w:pPr>
            <w:r w:rsidRPr="00B30781">
              <w:rPr>
                <w:b/>
                <w:bCs/>
                <w:sz w:val="20"/>
                <w:szCs w:val="20"/>
              </w:rPr>
              <w:t>Produits alimentaires et boissons non alcoolisées</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3291</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138,8</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b/>
                <w:bCs/>
                <w:sz w:val="20"/>
                <w:szCs w:val="20"/>
              </w:rPr>
            </w:pPr>
            <w:r w:rsidRPr="00B30781">
              <w:rPr>
                <w:b/>
                <w:bCs/>
                <w:sz w:val="20"/>
                <w:szCs w:val="20"/>
              </w:rPr>
              <w:t>138,7</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1,6</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b/>
                <w:bCs/>
                <w:sz w:val="20"/>
                <w:szCs w:val="20"/>
              </w:rPr>
            </w:pPr>
            <w:r w:rsidRPr="00B30781">
              <w:rPr>
                <w:b/>
                <w:bCs/>
                <w:sz w:val="20"/>
                <w:szCs w:val="20"/>
              </w:rPr>
              <w:t>-0,1</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-2,4</w:t>
            </w:r>
          </w:p>
        </w:tc>
      </w:tr>
      <w:tr w:rsidR="008F715D" w:rsidRPr="00B30781" w:rsidTr="002105A0">
        <w:trPr>
          <w:trHeight w:val="148"/>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ind w:firstLineChars="100" w:firstLine="200"/>
              <w:rPr>
                <w:i/>
                <w:iCs/>
                <w:sz w:val="20"/>
                <w:szCs w:val="20"/>
              </w:rPr>
            </w:pPr>
            <w:r w:rsidRPr="00B30781">
              <w:rPr>
                <w:i/>
                <w:iCs/>
                <w:sz w:val="20"/>
                <w:szCs w:val="20"/>
              </w:rPr>
              <w:t>Pains et céréales</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673</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126,9</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i/>
                <w:iCs/>
                <w:sz w:val="20"/>
                <w:szCs w:val="20"/>
              </w:rPr>
            </w:pPr>
            <w:r w:rsidRPr="00B30781">
              <w:rPr>
                <w:i/>
                <w:iCs/>
                <w:sz w:val="20"/>
                <w:szCs w:val="20"/>
              </w:rPr>
              <w:t>128,8</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1,8</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i/>
                <w:iCs/>
                <w:sz w:val="20"/>
                <w:szCs w:val="20"/>
              </w:rPr>
            </w:pPr>
            <w:r w:rsidRPr="00B30781">
              <w:rPr>
                <w:i/>
                <w:iCs/>
                <w:sz w:val="20"/>
                <w:szCs w:val="20"/>
              </w:rPr>
              <w:t>1,5</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1,6</w:t>
            </w:r>
          </w:p>
        </w:tc>
      </w:tr>
      <w:tr w:rsidR="008F715D" w:rsidRPr="00B30781" w:rsidTr="002105A0">
        <w:trPr>
          <w:trHeight w:val="110"/>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ind w:firstLineChars="100" w:firstLine="200"/>
              <w:rPr>
                <w:i/>
                <w:iCs/>
                <w:sz w:val="20"/>
                <w:szCs w:val="20"/>
              </w:rPr>
            </w:pPr>
            <w:r w:rsidRPr="00B30781">
              <w:rPr>
                <w:i/>
                <w:iCs/>
                <w:sz w:val="20"/>
                <w:szCs w:val="20"/>
              </w:rPr>
              <w:t>Viandes</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720</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136,2</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i/>
                <w:iCs/>
                <w:sz w:val="20"/>
                <w:szCs w:val="20"/>
              </w:rPr>
            </w:pPr>
            <w:r w:rsidRPr="00B30781">
              <w:rPr>
                <w:i/>
                <w:iCs/>
                <w:sz w:val="20"/>
                <w:szCs w:val="20"/>
              </w:rPr>
              <w:t>136,2</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6,9</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i/>
                <w:iCs/>
                <w:sz w:val="20"/>
                <w:szCs w:val="20"/>
              </w:rPr>
            </w:pPr>
            <w:r w:rsidRPr="00B30781">
              <w:rPr>
                <w:i/>
                <w:iCs/>
                <w:sz w:val="20"/>
                <w:szCs w:val="20"/>
              </w:rPr>
              <w:t>0,0</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-1,9</w:t>
            </w:r>
          </w:p>
        </w:tc>
      </w:tr>
      <w:tr w:rsidR="008F715D" w:rsidRPr="00B30781" w:rsidTr="002105A0">
        <w:trPr>
          <w:trHeight w:val="86"/>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ind w:firstLineChars="100" w:firstLine="200"/>
              <w:rPr>
                <w:i/>
                <w:iCs/>
                <w:sz w:val="20"/>
                <w:szCs w:val="20"/>
              </w:rPr>
            </w:pPr>
            <w:r w:rsidRPr="00B30781">
              <w:rPr>
                <w:i/>
                <w:iCs/>
                <w:sz w:val="20"/>
                <w:szCs w:val="20"/>
              </w:rPr>
              <w:t>Poissons et fruits de mer</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446</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180,3</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i/>
                <w:iCs/>
                <w:sz w:val="20"/>
                <w:szCs w:val="20"/>
              </w:rPr>
            </w:pPr>
            <w:r w:rsidRPr="00B30781">
              <w:rPr>
                <w:i/>
                <w:iCs/>
                <w:sz w:val="20"/>
                <w:szCs w:val="20"/>
              </w:rPr>
              <w:t>185,6</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-3,5</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i/>
                <w:iCs/>
                <w:sz w:val="20"/>
                <w:szCs w:val="20"/>
              </w:rPr>
            </w:pPr>
            <w:r w:rsidRPr="00B30781">
              <w:rPr>
                <w:i/>
                <w:iCs/>
                <w:sz w:val="20"/>
                <w:szCs w:val="20"/>
              </w:rPr>
              <w:t>2,9</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2,1</w:t>
            </w:r>
          </w:p>
        </w:tc>
      </w:tr>
      <w:tr w:rsidR="008F715D" w:rsidRPr="00B30781" w:rsidTr="002105A0">
        <w:trPr>
          <w:trHeight w:val="204"/>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ind w:firstLineChars="100" w:firstLine="200"/>
              <w:rPr>
                <w:i/>
                <w:iCs/>
                <w:sz w:val="20"/>
                <w:szCs w:val="20"/>
              </w:rPr>
            </w:pPr>
            <w:r w:rsidRPr="00B30781">
              <w:rPr>
                <w:i/>
                <w:iCs/>
                <w:sz w:val="20"/>
                <w:szCs w:val="20"/>
              </w:rPr>
              <w:t>Lait, fromage et œufs</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243</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125,1</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i/>
                <w:iCs/>
                <w:sz w:val="20"/>
                <w:szCs w:val="20"/>
              </w:rPr>
            </w:pPr>
            <w:r w:rsidRPr="00B30781">
              <w:rPr>
                <w:i/>
                <w:iCs/>
                <w:sz w:val="20"/>
                <w:szCs w:val="20"/>
              </w:rPr>
              <w:t>124,9</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3,6</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i/>
                <w:iCs/>
                <w:sz w:val="20"/>
                <w:szCs w:val="20"/>
              </w:rPr>
            </w:pPr>
            <w:r w:rsidRPr="00B30781">
              <w:rPr>
                <w:i/>
                <w:iCs/>
                <w:sz w:val="20"/>
                <w:szCs w:val="20"/>
              </w:rPr>
              <w:t>-0,2</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-3,6</w:t>
            </w:r>
          </w:p>
        </w:tc>
      </w:tr>
      <w:tr w:rsidR="008F715D" w:rsidRPr="00B30781" w:rsidTr="002105A0">
        <w:trPr>
          <w:trHeight w:val="180"/>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ind w:firstLineChars="100" w:firstLine="200"/>
              <w:rPr>
                <w:i/>
                <w:iCs/>
                <w:sz w:val="20"/>
                <w:szCs w:val="20"/>
              </w:rPr>
            </w:pPr>
            <w:r w:rsidRPr="00B30781">
              <w:rPr>
                <w:i/>
                <w:iCs/>
                <w:sz w:val="20"/>
                <w:szCs w:val="20"/>
              </w:rPr>
              <w:t>Huiles et graisses</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183</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132,9</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i/>
                <w:iCs/>
                <w:sz w:val="20"/>
                <w:szCs w:val="20"/>
              </w:rPr>
            </w:pPr>
            <w:r w:rsidRPr="00B30781">
              <w:rPr>
                <w:i/>
                <w:iCs/>
                <w:sz w:val="20"/>
                <w:szCs w:val="20"/>
              </w:rPr>
              <w:t>127,1</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-3,1</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i/>
                <w:iCs/>
                <w:sz w:val="20"/>
                <w:szCs w:val="20"/>
              </w:rPr>
            </w:pPr>
            <w:r w:rsidRPr="00B30781">
              <w:rPr>
                <w:i/>
                <w:iCs/>
                <w:sz w:val="20"/>
                <w:szCs w:val="20"/>
              </w:rPr>
              <w:t>-4,3</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-23,5</w:t>
            </w:r>
          </w:p>
        </w:tc>
      </w:tr>
      <w:tr w:rsidR="008F715D" w:rsidRPr="00B30781" w:rsidTr="002105A0">
        <w:trPr>
          <w:trHeight w:val="143"/>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ind w:firstLineChars="100" w:firstLine="200"/>
              <w:rPr>
                <w:i/>
                <w:iCs/>
                <w:sz w:val="20"/>
                <w:szCs w:val="20"/>
              </w:rPr>
            </w:pPr>
            <w:r w:rsidRPr="00B30781">
              <w:rPr>
                <w:i/>
                <w:iCs/>
                <w:sz w:val="20"/>
                <w:szCs w:val="20"/>
              </w:rPr>
              <w:t>Légumes et tubercules</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534</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151,1</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i/>
                <w:iCs/>
                <w:sz w:val="20"/>
                <w:szCs w:val="20"/>
              </w:rPr>
            </w:pPr>
            <w:r w:rsidRPr="00B30781">
              <w:rPr>
                <w:i/>
                <w:iCs/>
                <w:sz w:val="20"/>
                <w:szCs w:val="20"/>
              </w:rPr>
              <w:t>146,6</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2,5</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i/>
                <w:iCs/>
                <w:sz w:val="20"/>
                <w:szCs w:val="20"/>
              </w:rPr>
            </w:pPr>
            <w:r w:rsidRPr="00B30781">
              <w:rPr>
                <w:i/>
                <w:iCs/>
                <w:sz w:val="20"/>
                <w:szCs w:val="20"/>
              </w:rPr>
              <w:t>-2,9</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i/>
                <w:iCs/>
                <w:sz w:val="20"/>
                <w:szCs w:val="20"/>
              </w:rPr>
            </w:pPr>
            <w:r w:rsidRPr="00B30781">
              <w:rPr>
                <w:i/>
                <w:iCs/>
                <w:sz w:val="20"/>
                <w:szCs w:val="20"/>
              </w:rPr>
              <w:t>-3,0</w:t>
            </w:r>
          </w:p>
        </w:tc>
      </w:tr>
      <w:tr w:rsidR="008F715D" w:rsidRPr="00B30781" w:rsidTr="002105A0">
        <w:trPr>
          <w:trHeight w:val="104"/>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rPr>
                <w:b/>
                <w:bCs/>
                <w:sz w:val="20"/>
                <w:szCs w:val="20"/>
              </w:rPr>
            </w:pPr>
            <w:r w:rsidRPr="00B30781">
              <w:rPr>
                <w:b/>
                <w:bCs/>
                <w:sz w:val="20"/>
                <w:szCs w:val="20"/>
              </w:rPr>
              <w:t>Boissons alcoolisées et tabac</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185</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117,5</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b/>
                <w:bCs/>
                <w:sz w:val="20"/>
                <w:szCs w:val="20"/>
              </w:rPr>
            </w:pPr>
            <w:r w:rsidRPr="00B30781">
              <w:rPr>
                <w:b/>
                <w:bCs/>
                <w:sz w:val="20"/>
                <w:szCs w:val="20"/>
              </w:rPr>
              <w:t>122,1</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-0,5</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b/>
                <w:bCs/>
                <w:sz w:val="20"/>
                <w:szCs w:val="20"/>
              </w:rPr>
            </w:pPr>
            <w:r w:rsidRPr="00B30781">
              <w:rPr>
                <w:b/>
                <w:bCs/>
                <w:sz w:val="20"/>
                <w:szCs w:val="20"/>
              </w:rPr>
              <w:t>4,0</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1,9</w:t>
            </w:r>
          </w:p>
        </w:tc>
      </w:tr>
      <w:tr w:rsidR="008F715D" w:rsidRPr="00B30781" w:rsidTr="002105A0">
        <w:trPr>
          <w:trHeight w:val="181"/>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rPr>
                <w:b/>
                <w:bCs/>
                <w:sz w:val="20"/>
                <w:szCs w:val="20"/>
              </w:rPr>
            </w:pPr>
            <w:r w:rsidRPr="00B30781">
              <w:rPr>
                <w:b/>
                <w:bCs/>
                <w:sz w:val="20"/>
                <w:szCs w:val="20"/>
              </w:rPr>
              <w:t>Articles d'habillement et chaussures</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794</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135,9</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b/>
                <w:bCs/>
                <w:sz w:val="20"/>
                <w:szCs w:val="20"/>
              </w:rPr>
            </w:pPr>
            <w:r w:rsidRPr="00B30781">
              <w:rPr>
                <w:b/>
                <w:bCs/>
                <w:sz w:val="20"/>
                <w:szCs w:val="20"/>
              </w:rPr>
              <w:t>135,3</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23,8</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b/>
                <w:bCs/>
                <w:sz w:val="20"/>
                <w:szCs w:val="20"/>
              </w:rPr>
            </w:pPr>
            <w:r w:rsidRPr="00B30781">
              <w:rPr>
                <w:b/>
                <w:bCs/>
                <w:sz w:val="20"/>
                <w:szCs w:val="20"/>
              </w:rPr>
              <w:t>-0,4</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-4,9</w:t>
            </w:r>
          </w:p>
        </w:tc>
      </w:tr>
      <w:tr w:rsidR="008F715D" w:rsidRPr="00B30781" w:rsidTr="002105A0">
        <w:trPr>
          <w:trHeight w:val="230"/>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rPr>
                <w:b/>
                <w:bCs/>
                <w:sz w:val="20"/>
                <w:szCs w:val="20"/>
              </w:rPr>
            </w:pPr>
            <w:r w:rsidRPr="00B30781">
              <w:rPr>
                <w:b/>
                <w:bCs/>
                <w:sz w:val="20"/>
                <w:szCs w:val="20"/>
              </w:rPr>
              <w:t>Logement, eau, gaz, électricité….</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2053</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128,7</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b/>
                <w:bCs/>
                <w:sz w:val="20"/>
                <w:szCs w:val="20"/>
              </w:rPr>
            </w:pPr>
            <w:r w:rsidRPr="00B30781">
              <w:rPr>
                <w:b/>
                <w:bCs/>
                <w:sz w:val="20"/>
                <w:szCs w:val="20"/>
              </w:rPr>
              <w:t>123,7</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-9,1</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b/>
                <w:bCs/>
                <w:sz w:val="20"/>
                <w:szCs w:val="20"/>
              </w:rPr>
            </w:pPr>
            <w:r w:rsidRPr="00B30781">
              <w:rPr>
                <w:b/>
                <w:bCs/>
                <w:sz w:val="20"/>
                <w:szCs w:val="20"/>
              </w:rPr>
              <w:t>-3,9</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1,7</w:t>
            </w:r>
          </w:p>
        </w:tc>
      </w:tr>
      <w:tr w:rsidR="008F715D" w:rsidRPr="00B30781" w:rsidTr="002105A0">
        <w:trPr>
          <w:trHeight w:val="324"/>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rPr>
                <w:b/>
                <w:bCs/>
                <w:sz w:val="20"/>
                <w:szCs w:val="20"/>
              </w:rPr>
            </w:pPr>
            <w:r w:rsidRPr="00B30781">
              <w:rPr>
                <w:b/>
                <w:bCs/>
                <w:sz w:val="20"/>
                <w:szCs w:val="20"/>
              </w:rPr>
              <w:t>Meubles, articles de ménages, entretien…</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561</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116,8</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b/>
                <w:bCs/>
                <w:sz w:val="20"/>
                <w:szCs w:val="20"/>
              </w:rPr>
            </w:pPr>
            <w:r w:rsidRPr="00B30781">
              <w:rPr>
                <w:b/>
                <w:bCs/>
                <w:sz w:val="20"/>
                <w:szCs w:val="20"/>
              </w:rPr>
              <w:t>122,9</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-2,1</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b/>
                <w:bCs/>
                <w:sz w:val="20"/>
                <w:szCs w:val="20"/>
              </w:rPr>
            </w:pPr>
            <w:r w:rsidRPr="00B30781">
              <w:rPr>
                <w:b/>
                <w:bCs/>
                <w:sz w:val="20"/>
                <w:szCs w:val="20"/>
              </w:rPr>
              <w:t>5,2</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3,8</w:t>
            </w:r>
          </w:p>
        </w:tc>
      </w:tr>
      <w:tr w:rsidR="008F715D" w:rsidRPr="00B30781" w:rsidTr="002105A0">
        <w:trPr>
          <w:trHeight w:val="138"/>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rPr>
                <w:b/>
                <w:bCs/>
                <w:sz w:val="20"/>
                <w:szCs w:val="20"/>
              </w:rPr>
            </w:pPr>
            <w:r w:rsidRPr="00B30781">
              <w:rPr>
                <w:b/>
                <w:bCs/>
                <w:sz w:val="20"/>
                <w:szCs w:val="20"/>
              </w:rPr>
              <w:t>Santé</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357</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101,7</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b/>
                <w:bCs/>
                <w:sz w:val="20"/>
                <w:szCs w:val="20"/>
              </w:rPr>
            </w:pPr>
            <w:r w:rsidRPr="00B30781">
              <w:rPr>
                <w:b/>
                <w:bCs/>
                <w:sz w:val="20"/>
                <w:szCs w:val="20"/>
              </w:rPr>
              <w:t>99,5</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-17,4</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b/>
                <w:bCs/>
                <w:sz w:val="20"/>
                <w:szCs w:val="20"/>
              </w:rPr>
            </w:pPr>
            <w:r w:rsidRPr="00B30781">
              <w:rPr>
                <w:b/>
                <w:bCs/>
                <w:sz w:val="20"/>
                <w:szCs w:val="20"/>
              </w:rPr>
              <w:t>-2,1</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0,2</w:t>
            </w:r>
          </w:p>
        </w:tc>
      </w:tr>
      <w:tr w:rsidR="008F715D" w:rsidRPr="00B30781" w:rsidTr="002105A0">
        <w:trPr>
          <w:trHeight w:val="138"/>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rPr>
                <w:b/>
                <w:bCs/>
                <w:sz w:val="20"/>
                <w:szCs w:val="20"/>
              </w:rPr>
            </w:pPr>
            <w:r w:rsidRPr="00B30781">
              <w:rPr>
                <w:b/>
                <w:bCs/>
                <w:sz w:val="20"/>
                <w:szCs w:val="20"/>
              </w:rPr>
              <w:t>Transports</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990</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127,1</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b/>
                <w:bCs/>
                <w:sz w:val="20"/>
                <w:szCs w:val="20"/>
              </w:rPr>
            </w:pPr>
            <w:r w:rsidRPr="00B30781">
              <w:rPr>
                <w:b/>
                <w:bCs/>
                <w:sz w:val="20"/>
                <w:szCs w:val="20"/>
              </w:rPr>
              <w:t>141,2</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0,5</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b/>
                <w:bCs/>
                <w:sz w:val="20"/>
                <w:szCs w:val="20"/>
              </w:rPr>
            </w:pPr>
            <w:r w:rsidRPr="00B30781">
              <w:rPr>
                <w:b/>
                <w:bCs/>
                <w:sz w:val="20"/>
                <w:szCs w:val="20"/>
              </w:rPr>
              <w:t>11,1</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9,2</w:t>
            </w:r>
          </w:p>
        </w:tc>
      </w:tr>
      <w:tr w:rsidR="008F715D" w:rsidRPr="00B30781" w:rsidTr="002105A0">
        <w:trPr>
          <w:trHeight w:val="194"/>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rPr>
                <w:b/>
                <w:bCs/>
                <w:sz w:val="20"/>
                <w:szCs w:val="20"/>
              </w:rPr>
            </w:pPr>
            <w:r w:rsidRPr="00B30781">
              <w:rPr>
                <w:b/>
                <w:bCs/>
                <w:sz w:val="20"/>
                <w:szCs w:val="20"/>
              </w:rPr>
              <w:t>Communications</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355</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98,2</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b/>
                <w:bCs/>
                <w:sz w:val="20"/>
                <w:szCs w:val="20"/>
              </w:rPr>
            </w:pPr>
            <w:r w:rsidRPr="00B30781">
              <w:rPr>
                <w:b/>
                <w:bCs/>
                <w:sz w:val="20"/>
                <w:szCs w:val="20"/>
              </w:rPr>
              <w:t>64,0</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-2,8</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b/>
                <w:bCs/>
                <w:sz w:val="20"/>
                <w:szCs w:val="20"/>
              </w:rPr>
            </w:pPr>
            <w:r w:rsidRPr="00B30781">
              <w:rPr>
                <w:b/>
                <w:bCs/>
                <w:sz w:val="20"/>
                <w:szCs w:val="20"/>
              </w:rPr>
              <w:t>-34,8</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-7,3</w:t>
            </w:r>
          </w:p>
        </w:tc>
      </w:tr>
      <w:tr w:rsidR="008F715D" w:rsidRPr="00B30781" w:rsidTr="002105A0">
        <w:trPr>
          <w:trHeight w:val="84"/>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rPr>
                <w:b/>
                <w:bCs/>
                <w:sz w:val="20"/>
                <w:szCs w:val="20"/>
              </w:rPr>
            </w:pPr>
            <w:r w:rsidRPr="00B30781">
              <w:rPr>
                <w:b/>
                <w:bCs/>
                <w:sz w:val="20"/>
                <w:szCs w:val="20"/>
              </w:rPr>
              <w:t>Loisirs et cultures</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503</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117,8</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b/>
                <w:bCs/>
                <w:sz w:val="20"/>
                <w:szCs w:val="20"/>
              </w:rPr>
            </w:pPr>
            <w:r w:rsidRPr="00B30781">
              <w:rPr>
                <w:b/>
                <w:bCs/>
                <w:sz w:val="20"/>
                <w:szCs w:val="20"/>
              </w:rPr>
              <w:t>121,1</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10,5</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b/>
                <w:bCs/>
                <w:sz w:val="20"/>
                <w:szCs w:val="20"/>
              </w:rPr>
            </w:pPr>
            <w:r w:rsidRPr="00B30781">
              <w:rPr>
                <w:b/>
                <w:bCs/>
                <w:sz w:val="20"/>
                <w:szCs w:val="20"/>
              </w:rPr>
              <w:t>2,8</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3,1</w:t>
            </w:r>
          </w:p>
        </w:tc>
      </w:tr>
      <w:tr w:rsidR="008F715D" w:rsidRPr="00B30781" w:rsidTr="002105A0">
        <w:trPr>
          <w:trHeight w:val="88"/>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rPr>
                <w:b/>
                <w:bCs/>
                <w:sz w:val="20"/>
                <w:szCs w:val="20"/>
              </w:rPr>
            </w:pPr>
            <w:r w:rsidRPr="00B30781">
              <w:rPr>
                <w:b/>
                <w:bCs/>
                <w:sz w:val="20"/>
                <w:szCs w:val="20"/>
              </w:rPr>
              <w:t>Enseignement</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170</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106,6</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b/>
                <w:bCs/>
                <w:sz w:val="20"/>
                <w:szCs w:val="20"/>
              </w:rPr>
            </w:pPr>
            <w:r w:rsidRPr="00B30781">
              <w:rPr>
                <w:b/>
                <w:bCs/>
                <w:sz w:val="20"/>
                <w:szCs w:val="20"/>
              </w:rPr>
              <w:t>111,6</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-2,4</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b/>
                <w:bCs/>
                <w:sz w:val="20"/>
                <w:szCs w:val="20"/>
              </w:rPr>
            </w:pPr>
            <w:r w:rsidRPr="00B30781">
              <w:rPr>
                <w:b/>
                <w:bCs/>
                <w:sz w:val="20"/>
                <w:szCs w:val="20"/>
              </w:rPr>
              <w:t>4,7</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4,4</w:t>
            </w:r>
          </w:p>
        </w:tc>
      </w:tr>
      <w:tr w:rsidR="008F715D" w:rsidRPr="00B30781" w:rsidTr="002105A0">
        <w:trPr>
          <w:trHeight w:val="121"/>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rPr>
                <w:b/>
                <w:bCs/>
                <w:sz w:val="20"/>
                <w:szCs w:val="20"/>
              </w:rPr>
            </w:pPr>
            <w:r w:rsidRPr="00B30781">
              <w:rPr>
                <w:b/>
                <w:bCs/>
                <w:sz w:val="20"/>
                <w:szCs w:val="20"/>
              </w:rPr>
              <w:t>Restaurants et hôtels</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466</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124,6</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b/>
                <w:bCs/>
                <w:sz w:val="20"/>
                <w:szCs w:val="20"/>
              </w:rPr>
            </w:pPr>
            <w:r w:rsidRPr="00B30781">
              <w:rPr>
                <w:b/>
                <w:bCs/>
                <w:sz w:val="20"/>
                <w:szCs w:val="20"/>
              </w:rPr>
              <w:t>129,8</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0,4</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b/>
                <w:bCs/>
                <w:sz w:val="20"/>
                <w:szCs w:val="20"/>
              </w:rPr>
            </w:pPr>
            <w:r w:rsidRPr="00B30781">
              <w:rPr>
                <w:b/>
                <w:bCs/>
                <w:sz w:val="20"/>
                <w:szCs w:val="20"/>
              </w:rPr>
              <w:t>4,1</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5,9</w:t>
            </w:r>
          </w:p>
        </w:tc>
      </w:tr>
      <w:tr w:rsidR="008F715D" w:rsidRPr="00B30781" w:rsidTr="002105A0">
        <w:trPr>
          <w:trHeight w:val="152"/>
        </w:trPr>
        <w:tc>
          <w:tcPr>
            <w:tcW w:w="4414" w:type="dxa"/>
            <w:tcBorders>
              <w:top w:val="nil"/>
              <w:left w:val="single" w:sz="12" w:space="0" w:color="0070C0"/>
              <w:bottom w:val="single" w:sz="12" w:space="0" w:color="0070C0"/>
              <w:right w:val="single" w:sz="12" w:space="0" w:color="0070C0"/>
            </w:tcBorders>
            <w:shd w:val="clear" w:color="auto" w:fill="auto"/>
            <w:vAlign w:val="center"/>
            <w:hideMark/>
          </w:tcPr>
          <w:p w:rsidR="008F715D" w:rsidRPr="00B30781" w:rsidRDefault="008F715D" w:rsidP="002105A0">
            <w:pPr>
              <w:rPr>
                <w:b/>
                <w:bCs/>
                <w:sz w:val="20"/>
                <w:szCs w:val="20"/>
              </w:rPr>
            </w:pPr>
            <w:r w:rsidRPr="00B30781">
              <w:rPr>
                <w:b/>
                <w:bCs/>
                <w:sz w:val="20"/>
                <w:szCs w:val="20"/>
              </w:rPr>
              <w:t>Biens et services divers</w:t>
            </w:r>
          </w:p>
        </w:tc>
        <w:tc>
          <w:tcPr>
            <w:tcW w:w="996"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275</w:t>
            </w:r>
          </w:p>
        </w:tc>
        <w:tc>
          <w:tcPr>
            <w:tcW w:w="855"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107,4</w:t>
            </w:r>
          </w:p>
        </w:tc>
        <w:tc>
          <w:tcPr>
            <w:tcW w:w="996" w:type="dxa"/>
            <w:tcBorders>
              <w:top w:val="nil"/>
              <w:left w:val="nil"/>
              <w:bottom w:val="single" w:sz="12" w:space="0" w:color="0070C0"/>
              <w:right w:val="single" w:sz="12" w:space="0" w:color="0070C0"/>
            </w:tcBorders>
            <w:shd w:val="clear" w:color="000000" w:fill="FFFF99"/>
            <w:noWrap/>
            <w:vAlign w:val="center"/>
            <w:hideMark/>
          </w:tcPr>
          <w:p w:rsidR="008F715D" w:rsidRPr="00B30781" w:rsidRDefault="008F715D" w:rsidP="002105A0">
            <w:pPr>
              <w:jc w:val="center"/>
              <w:rPr>
                <w:b/>
                <w:bCs/>
                <w:sz w:val="20"/>
                <w:szCs w:val="20"/>
              </w:rPr>
            </w:pPr>
            <w:r w:rsidRPr="00B30781">
              <w:rPr>
                <w:b/>
                <w:bCs/>
                <w:sz w:val="20"/>
                <w:szCs w:val="20"/>
              </w:rPr>
              <w:t>142,6</w:t>
            </w:r>
          </w:p>
        </w:tc>
        <w:tc>
          <w:tcPr>
            <w:tcW w:w="854"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8,6</w:t>
            </w:r>
          </w:p>
        </w:tc>
        <w:tc>
          <w:tcPr>
            <w:tcW w:w="933" w:type="dxa"/>
            <w:tcBorders>
              <w:top w:val="nil"/>
              <w:left w:val="nil"/>
              <w:bottom w:val="single" w:sz="12" w:space="0" w:color="0070C0"/>
              <w:right w:val="single" w:sz="12" w:space="0" w:color="0070C0"/>
            </w:tcBorders>
            <w:shd w:val="clear" w:color="000000" w:fill="E7E6E6"/>
            <w:noWrap/>
            <w:vAlign w:val="center"/>
            <w:hideMark/>
          </w:tcPr>
          <w:p w:rsidR="008F715D" w:rsidRPr="00B30781" w:rsidRDefault="008F715D" w:rsidP="002105A0">
            <w:pPr>
              <w:jc w:val="center"/>
              <w:rPr>
                <w:b/>
                <w:bCs/>
                <w:sz w:val="20"/>
                <w:szCs w:val="20"/>
              </w:rPr>
            </w:pPr>
            <w:r w:rsidRPr="00B30781">
              <w:rPr>
                <w:b/>
                <w:bCs/>
                <w:sz w:val="20"/>
                <w:szCs w:val="20"/>
              </w:rPr>
              <w:t>32,8</w:t>
            </w:r>
          </w:p>
        </w:tc>
        <w:tc>
          <w:tcPr>
            <w:tcW w:w="1487" w:type="dxa"/>
            <w:tcBorders>
              <w:top w:val="nil"/>
              <w:left w:val="nil"/>
              <w:bottom w:val="single" w:sz="12" w:space="0" w:color="0070C0"/>
              <w:right w:val="single" w:sz="12" w:space="0" w:color="0070C0"/>
            </w:tcBorders>
            <w:shd w:val="clear" w:color="auto" w:fill="auto"/>
            <w:noWrap/>
            <w:vAlign w:val="center"/>
            <w:hideMark/>
          </w:tcPr>
          <w:p w:rsidR="008F715D" w:rsidRPr="00B30781" w:rsidRDefault="008F715D" w:rsidP="002105A0">
            <w:pPr>
              <w:jc w:val="center"/>
              <w:rPr>
                <w:b/>
                <w:bCs/>
                <w:sz w:val="20"/>
                <w:szCs w:val="20"/>
              </w:rPr>
            </w:pPr>
            <w:r w:rsidRPr="00B30781">
              <w:rPr>
                <w:b/>
                <w:bCs/>
                <w:sz w:val="20"/>
                <w:szCs w:val="20"/>
              </w:rPr>
              <w:t>33,5</w:t>
            </w:r>
          </w:p>
        </w:tc>
      </w:tr>
    </w:tbl>
    <w:p w:rsidR="008F715D" w:rsidRPr="005D514F" w:rsidRDefault="008F715D" w:rsidP="008F715D">
      <w:pPr>
        <w:autoSpaceDE w:val="0"/>
        <w:autoSpaceDN w:val="0"/>
        <w:adjustRightInd w:val="0"/>
        <w:rPr>
          <w:i/>
          <w:sz w:val="20"/>
          <w:szCs w:val="20"/>
        </w:rPr>
      </w:pPr>
      <w:r w:rsidRPr="005D514F">
        <w:rPr>
          <w:i/>
          <w:sz w:val="20"/>
          <w:szCs w:val="20"/>
        </w:rPr>
        <w:t>Sources : DGS, DGEPF</w:t>
      </w:r>
    </w:p>
    <w:p w:rsidR="008F715D" w:rsidRPr="006648E4" w:rsidRDefault="008F715D" w:rsidP="008F715D"/>
    <w:p w:rsidR="008F715D" w:rsidRPr="00EF2856" w:rsidRDefault="008F715D" w:rsidP="008F715D"/>
    <w:p w:rsidR="008F715D" w:rsidRPr="00393CDB" w:rsidRDefault="008F715D" w:rsidP="008F715D">
      <w:pPr>
        <w:pStyle w:val="Titre2"/>
        <w:rPr>
          <w:b/>
          <w:bCs/>
          <w:i w:val="0"/>
          <w:color w:val="0000FF"/>
          <w:sz w:val="24"/>
        </w:rPr>
      </w:pPr>
      <w:bookmarkStart w:id="269" w:name="_Toc389568380"/>
      <w:bookmarkStart w:id="270" w:name="_Toc389653182"/>
      <w:bookmarkStart w:id="271" w:name="_Toc389653410"/>
      <w:bookmarkStart w:id="272" w:name="_Toc436475102"/>
      <w:bookmarkStart w:id="273" w:name="_Toc446528840"/>
      <w:bookmarkStart w:id="274" w:name="_Toc453833471"/>
      <w:bookmarkStart w:id="275" w:name="_Toc462990864"/>
      <w:r w:rsidRPr="00393CDB">
        <w:rPr>
          <w:b/>
          <w:bCs/>
          <w:i w:val="0"/>
          <w:color w:val="0000FF"/>
          <w:sz w:val="24"/>
        </w:rPr>
        <w:t>III.2 L’EMPLOI</w:t>
      </w:r>
      <w:bookmarkEnd w:id="269"/>
      <w:bookmarkEnd w:id="270"/>
      <w:bookmarkEnd w:id="271"/>
      <w:r w:rsidRPr="00393CDB">
        <w:rPr>
          <w:b/>
          <w:bCs/>
          <w:i w:val="0"/>
          <w:color w:val="0000FF"/>
          <w:sz w:val="24"/>
        </w:rPr>
        <w:t xml:space="preserve"> ET LES SALAIRES</w:t>
      </w:r>
      <w:bookmarkEnd w:id="272"/>
      <w:bookmarkEnd w:id="273"/>
      <w:bookmarkEnd w:id="274"/>
      <w:bookmarkEnd w:id="275"/>
    </w:p>
    <w:p w:rsidR="008F715D" w:rsidRPr="00A52E27" w:rsidRDefault="008F715D" w:rsidP="008F715D">
      <w:pPr>
        <w:pStyle w:val="Corpsdetexte2"/>
        <w:spacing w:after="0" w:line="240" w:lineRule="auto"/>
        <w:jc w:val="both"/>
        <w:rPr>
          <w:b/>
          <w:bCs/>
          <w:i/>
          <w:iCs/>
          <w:color w:val="0000FF"/>
        </w:rPr>
      </w:pPr>
    </w:p>
    <w:p w:rsidR="008F715D" w:rsidRDefault="008F715D" w:rsidP="008F715D">
      <w:pPr>
        <w:pStyle w:val="Titre3"/>
        <w:ind w:firstLine="0"/>
        <w:rPr>
          <w:b/>
          <w:bCs/>
          <w:i/>
          <w:iCs/>
          <w:color w:val="0000FF"/>
          <w:sz w:val="24"/>
        </w:rPr>
      </w:pPr>
      <w:bookmarkStart w:id="276" w:name="_Toc462990865"/>
      <w:r w:rsidRPr="00A52E27">
        <w:rPr>
          <w:b/>
          <w:bCs/>
          <w:i/>
          <w:iCs/>
          <w:color w:val="0000FF"/>
          <w:sz w:val="24"/>
        </w:rPr>
        <w:t>III.2.1. L’emploi dans le secteur public</w:t>
      </w:r>
      <w:bookmarkEnd w:id="276"/>
    </w:p>
    <w:p w:rsidR="008F715D" w:rsidRPr="00A125D0" w:rsidRDefault="008F715D" w:rsidP="008F715D"/>
    <w:p w:rsidR="008F715D" w:rsidRPr="002205E6" w:rsidRDefault="008F715D" w:rsidP="008F715D">
      <w:pPr>
        <w:pStyle w:val="Paragraphedeliste"/>
        <w:ind w:left="0"/>
        <w:jc w:val="both"/>
        <w:rPr>
          <w:rFonts w:ascii="Times New Roman" w:eastAsiaTheme="minorHAnsi" w:hAnsi="Times New Roman"/>
          <w:sz w:val="24"/>
          <w:szCs w:val="24"/>
        </w:rPr>
      </w:pPr>
      <w:r w:rsidRPr="002205E6">
        <w:rPr>
          <w:rFonts w:ascii="Times New Roman" w:eastAsiaTheme="minorHAnsi" w:hAnsi="Times New Roman"/>
          <w:sz w:val="24"/>
          <w:szCs w:val="24"/>
        </w:rPr>
        <w:t xml:space="preserve">Au premier semestre 2016, les effectifs du secteur public ont régressé de 2,3% à 100 481 agents par apport à la même période en 2015. Cette tendance s’est observée aussi bien au niveau des effectifs de la fonction publique qu’au niveau de la main d’œuvre non permanente. </w:t>
      </w:r>
    </w:p>
    <w:p w:rsidR="008F715D" w:rsidRDefault="008F715D" w:rsidP="008F715D">
      <w:pPr>
        <w:pStyle w:val="Paragraphedeliste"/>
        <w:ind w:left="0"/>
        <w:jc w:val="both"/>
        <w:rPr>
          <w:rFonts w:ascii="Times New Roman" w:eastAsiaTheme="minorHAnsi" w:hAnsi="Times New Roman"/>
          <w:sz w:val="24"/>
          <w:szCs w:val="24"/>
        </w:rPr>
      </w:pPr>
    </w:p>
    <w:p w:rsidR="008F715D" w:rsidRPr="002205E6" w:rsidRDefault="008F715D" w:rsidP="008F715D">
      <w:pPr>
        <w:pStyle w:val="Paragraphedeliste"/>
        <w:ind w:left="0"/>
        <w:jc w:val="both"/>
        <w:rPr>
          <w:rFonts w:ascii="Times New Roman" w:eastAsiaTheme="minorHAnsi" w:hAnsi="Times New Roman"/>
          <w:sz w:val="24"/>
          <w:szCs w:val="24"/>
        </w:rPr>
      </w:pPr>
      <w:r w:rsidRPr="002205E6">
        <w:rPr>
          <w:rFonts w:ascii="Times New Roman" w:eastAsiaTheme="minorHAnsi" w:hAnsi="Times New Roman"/>
          <w:sz w:val="24"/>
          <w:szCs w:val="24"/>
        </w:rPr>
        <w:t>L’emploi dans la fonction publique  a enregistré une baisse de 2,3% pour s’établir à 85 395 agents en juin 2016.Cette évolution s’explique par la volonté exprimée par les plus hautes autorités d’assainir progressivement les finances publiques, principalement par la maitrise des effectifs.</w:t>
      </w:r>
    </w:p>
    <w:p w:rsidR="008F715D" w:rsidRPr="002205E6" w:rsidRDefault="008F715D" w:rsidP="008F715D">
      <w:pPr>
        <w:pStyle w:val="Paragraphedeliste"/>
        <w:ind w:left="0"/>
        <w:jc w:val="both"/>
        <w:rPr>
          <w:rFonts w:ascii="Times New Roman" w:eastAsiaTheme="minorHAnsi" w:hAnsi="Times New Roman"/>
          <w:sz w:val="24"/>
          <w:szCs w:val="24"/>
        </w:rPr>
      </w:pPr>
    </w:p>
    <w:p w:rsidR="008F715D" w:rsidRDefault="008F715D" w:rsidP="008F715D">
      <w:pPr>
        <w:pStyle w:val="Paragraphedeliste"/>
        <w:ind w:left="0"/>
        <w:jc w:val="both"/>
        <w:rPr>
          <w:rFonts w:ascii="Times New Roman" w:eastAsiaTheme="minorHAnsi" w:hAnsi="Times New Roman"/>
          <w:sz w:val="24"/>
          <w:szCs w:val="24"/>
        </w:rPr>
      </w:pPr>
      <w:r w:rsidRPr="002205E6">
        <w:rPr>
          <w:rFonts w:ascii="Times New Roman" w:eastAsiaTheme="minorHAnsi" w:hAnsi="Times New Roman"/>
          <w:sz w:val="24"/>
          <w:szCs w:val="24"/>
        </w:rPr>
        <w:t>Les effectifs de la main d’œuvre non permanente sont passés de 15 447 agents en juin 2015 à 15 086 agents en fin juin 2016. Ce repli a été la résultante du non remplacement systématique des départs à la retraite.</w:t>
      </w:r>
      <w:r>
        <w:rPr>
          <w:rFonts w:ascii="Times New Roman" w:eastAsiaTheme="minorHAnsi" w:hAnsi="Times New Roman"/>
          <w:sz w:val="24"/>
          <w:szCs w:val="24"/>
        </w:rPr>
        <w:t xml:space="preserve">  </w:t>
      </w:r>
    </w:p>
    <w:p w:rsidR="008F715D" w:rsidRDefault="008F715D" w:rsidP="008F715D">
      <w:pPr>
        <w:jc w:val="both"/>
        <w:rPr>
          <w:rFonts w:ascii="Calibri" w:hAnsi="Calibri"/>
          <w:b/>
          <w:bCs/>
          <w:i/>
        </w:rPr>
      </w:pPr>
      <w:r w:rsidRPr="008752C4">
        <w:rPr>
          <w:b/>
          <w:i/>
        </w:rPr>
        <w:t xml:space="preserve">Evolution de l’Emploi Public </w:t>
      </w:r>
    </w:p>
    <w:tbl>
      <w:tblPr>
        <w:tblW w:w="9087" w:type="dxa"/>
        <w:tblInd w:w="55" w:type="dxa"/>
        <w:tblCellMar>
          <w:left w:w="70" w:type="dxa"/>
          <w:right w:w="70" w:type="dxa"/>
        </w:tblCellMar>
        <w:tblLook w:val="04A0"/>
      </w:tblPr>
      <w:tblGrid>
        <w:gridCol w:w="3800"/>
        <w:gridCol w:w="2311"/>
        <w:gridCol w:w="1559"/>
        <w:gridCol w:w="1417"/>
      </w:tblGrid>
      <w:tr w:rsidR="008F715D" w:rsidRPr="003338C2" w:rsidTr="002105A0">
        <w:trPr>
          <w:trHeight w:val="330"/>
        </w:trPr>
        <w:tc>
          <w:tcPr>
            <w:tcW w:w="3800" w:type="dxa"/>
            <w:vMerge w:val="restart"/>
            <w:tcBorders>
              <w:top w:val="single" w:sz="12" w:space="0" w:color="0070C0"/>
              <w:left w:val="single" w:sz="12" w:space="0" w:color="0070C0"/>
              <w:bottom w:val="single" w:sz="12" w:space="0" w:color="0070C0"/>
              <w:right w:val="single" w:sz="12" w:space="0" w:color="0070C0"/>
            </w:tcBorders>
            <w:shd w:val="clear" w:color="auto" w:fill="auto"/>
            <w:noWrap/>
            <w:vAlign w:val="center"/>
            <w:hideMark/>
          </w:tcPr>
          <w:p w:rsidR="008F715D" w:rsidRPr="003338C2" w:rsidRDefault="008F715D" w:rsidP="002105A0">
            <w:pPr>
              <w:rPr>
                <w:b/>
                <w:bCs/>
                <w:color w:val="000000"/>
                <w:sz w:val="20"/>
                <w:szCs w:val="20"/>
              </w:rPr>
            </w:pPr>
            <w:r w:rsidRPr="003338C2">
              <w:rPr>
                <w:b/>
                <w:bCs/>
                <w:color w:val="000000"/>
                <w:sz w:val="20"/>
                <w:szCs w:val="20"/>
                <w:lang w:eastAsia="en-US"/>
              </w:rPr>
              <w:t>Effectifs du public</w:t>
            </w:r>
          </w:p>
        </w:tc>
        <w:tc>
          <w:tcPr>
            <w:tcW w:w="3870" w:type="dxa"/>
            <w:gridSpan w:val="2"/>
            <w:tcBorders>
              <w:top w:val="single" w:sz="12" w:space="0" w:color="0070C0"/>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b/>
                <w:bCs/>
                <w:color w:val="000000"/>
                <w:sz w:val="20"/>
                <w:szCs w:val="20"/>
              </w:rPr>
            </w:pPr>
            <w:r w:rsidRPr="003338C2">
              <w:rPr>
                <w:b/>
                <w:bCs/>
                <w:color w:val="000000"/>
                <w:sz w:val="20"/>
                <w:szCs w:val="20"/>
                <w:lang w:eastAsia="en-US"/>
              </w:rPr>
              <w:t>Premier semestre</w:t>
            </w:r>
          </w:p>
        </w:tc>
        <w:tc>
          <w:tcPr>
            <w:tcW w:w="1417" w:type="dxa"/>
            <w:vMerge w:val="restart"/>
            <w:tcBorders>
              <w:top w:val="single" w:sz="12" w:space="0" w:color="0070C0"/>
              <w:left w:val="single" w:sz="12" w:space="0" w:color="0070C0"/>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b/>
                <w:bCs/>
                <w:color w:val="000000"/>
                <w:sz w:val="20"/>
                <w:szCs w:val="20"/>
              </w:rPr>
            </w:pPr>
            <w:r w:rsidRPr="003338C2">
              <w:rPr>
                <w:b/>
                <w:bCs/>
                <w:color w:val="000000"/>
                <w:sz w:val="20"/>
                <w:szCs w:val="20"/>
                <w:lang w:eastAsia="en-US"/>
              </w:rPr>
              <w:t>16/15</w:t>
            </w:r>
          </w:p>
        </w:tc>
      </w:tr>
      <w:tr w:rsidR="008F715D" w:rsidRPr="003338C2" w:rsidTr="002105A0">
        <w:trPr>
          <w:trHeight w:val="330"/>
        </w:trPr>
        <w:tc>
          <w:tcPr>
            <w:tcW w:w="3800"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3338C2" w:rsidRDefault="008F715D" w:rsidP="002105A0">
            <w:pPr>
              <w:rPr>
                <w:b/>
                <w:bCs/>
                <w:color w:val="000000"/>
                <w:sz w:val="20"/>
                <w:szCs w:val="20"/>
              </w:rPr>
            </w:pPr>
          </w:p>
        </w:tc>
        <w:tc>
          <w:tcPr>
            <w:tcW w:w="2311"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b/>
                <w:bCs/>
                <w:color w:val="000000"/>
                <w:sz w:val="20"/>
                <w:szCs w:val="20"/>
              </w:rPr>
            </w:pPr>
            <w:r w:rsidRPr="003338C2">
              <w:rPr>
                <w:b/>
                <w:bCs/>
                <w:color w:val="000000"/>
                <w:sz w:val="20"/>
                <w:szCs w:val="20"/>
                <w:lang w:eastAsia="en-US"/>
              </w:rPr>
              <w:t>2015</w:t>
            </w:r>
          </w:p>
        </w:tc>
        <w:tc>
          <w:tcPr>
            <w:tcW w:w="1559"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b/>
                <w:bCs/>
                <w:color w:val="000000"/>
                <w:sz w:val="20"/>
                <w:szCs w:val="20"/>
              </w:rPr>
            </w:pPr>
            <w:r w:rsidRPr="003338C2">
              <w:rPr>
                <w:b/>
                <w:bCs/>
                <w:color w:val="000000"/>
                <w:sz w:val="20"/>
                <w:szCs w:val="20"/>
                <w:lang w:eastAsia="en-US"/>
              </w:rPr>
              <w:t>2016</w:t>
            </w:r>
          </w:p>
        </w:tc>
        <w:tc>
          <w:tcPr>
            <w:tcW w:w="1417"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3338C2" w:rsidRDefault="008F715D" w:rsidP="002105A0">
            <w:pPr>
              <w:rPr>
                <w:b/>
                <w:bCs/>
                <w:color w:val="000000"/>
                <w:sz w:val="20"/>
                <w:szCs w:val="20"/>
              </w:rPr>
            </w:pPr>
          </w:p>
        </w:tc>
      </w:tr>
      <w:tr w:rsidR="008F715D" w:rsidRPr="003338C2" w:rsidTr="002105A0">
        <w:trPr>
          <w:trHeight w:val="330"/>
        </w:trPr>
        <w:tc>
          <w:tcPr>
            <w:tcW w:w="380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338C2" w:rsidRDefault="008F715D" w:rsidP="002105A0">
            <w:pPr>
              <w:rPr>
                <w:color w:val="000000"/>
                <w:sz w:val="20"/>
                <w:szCs w:val="20"/>
              </w:rPr>
            </w:pPr>
            <w:r w:rsidRPr="003338C2">
              <w:rPr>
                <w:color w:val="000000"/>
                <w:sz w:val="20"/>
                <w:szCs w:val="20"/>
                <w:lang w:eastAsia="en-US"/>
              </w:rPr>
              <w:t>Fonction publique</w:t>
            </w:r>
          </w:p>
        </w:tc>
        <w:tc>
          <w:tcPr>
            <w:tcW w:w="2311"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color w:val="000000"/>
                <w:sz w:val="20"/>
                <w:szCs w:val="20"/>
              </w:rPr>
            </w:pPr>
            <w:r w:rsidRPr="003338C2">
              <w:rPr>
                <w:color w:val="000000"/>
                <w:sz w:val="20"/>
                <w:szCs w:val="20"/>
                <w:lang w:eastAsia="en-US"/>
              </w:rPr>
              <w:t>87 421</w:t>
            </w:r>
          </w:p>
        </w:tc>
        <w:tc>
          <w:tcPr>
            <w:tcW w:w="1559"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color w:val="000000"/>
                <w:sz w:val="20"/>
                <w:szCs w:val="20"/>
              </w:rPr>
            </w:pPr>
            <w:r w:rsidRPr="003338C2">
              <w:rPr>
                <w:color w:val="000000"/>
                <w:sz w:val="20"/>
                <w:szCs w:val="20"/>
                <w:lang w:eastAsia="en-US"/>
              </w:rPr>
              <w:t>85 395</w:t>
            </w:r>
          </w:p>
        </w:tc>
        <w:tc>
          <w:tcPr>
            <w:tcW w:w="1417"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color w:val="000000"/>
                <w:sz w:val="20"/>
                <w:szCs w:val="20"/>
              </w:rPr>
            </w:pPr>
            <w:r w:rsidRPr="003338C2">
              <w:rPr>
                <w:color w:val="000000"/>
                <w:sz w:val="20"/>
                <w:szCs w:val="20"/>
              </w:rPr>
              <w:t>-2,3%</w:t>
            </w:r>
          </w:p>
        </w:tc>
      </w:tr>
      <w:tr w:rsidR="008F715D" w:rsidRPr="003338C2" w:rsidTr="002105A0">
        <w:trPr>
          <w:trHeight w:val="330"/>
        </w:trPr>
        <w:tc>
          <w:tcPr>
            <w:tcW w:w="380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338C2" w:rsidRDefault="008F715D" w:rsidP="002105A0">
            <w:pPr>
              <w:rPr>
                <w:color w:val="000000"/>
                <w:sz w:val="20"/>
                <w:szCs w:val="20"/>
              </w:rPr>
            </w:pPr>
            <w:r w:rsidRPr="003338C2">
              <w:rPr>
                <w:color w:val="000000"/>
                <w:sz w:val="20"/>
                <w:szCs w:val="20"/>
                <w:lang w:eastAsia="en-US"/>
              </w:rPr>
              <w:t>MONP</w:t>
            </w:r>
          </w:p>
        </w:tc>
        <w:tc>
          <w:tcPr>
            <w:tcW w:w="2311"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color w:val="000000"/>
                <w:sz w:val="20"/>
                <w:szCs w:val="20"/>
              </w:rPr>
            </w:pPr>
            <w:r w:rsidRPr="003338C2">
              <w:rPr>
                <w:color w:val="000000"/>
                <w:sz w:val="20"/>
                <w:szCs w:val="20"/>
              </w:rPr>
              <w:t>15 447</w:t>
            </w:r>
          </w:p>
        </w:tc>
        <w:tc>
          <w:tcPr>
            <w:tcW w:w="1559"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color w:val="000000"/>
                <w:sz w:val="20"/>
                <w:szCs w:val="20"/>
              </w:rPr>
            </w:pPr>
            <w:r w:rsidRPr="003338C2">
              <w:rPr>
                <w:color w:val="000000"/>
                <w:sz w:val="20"/>
                <w:szCs w:val="20"/>
              </w:rPr>
              <w:t>15 086</w:t>
            </w:r>
          </w:p>
        </w:tc>
        <w:tc>
          <w:tcPr>
            <w:tcW w:w="1417"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color w:val="000000"/>
                <w:sz w:val="20"/>
                <w:szCs w:val="20"/>
              </w:rPr>
            </w:pPr>
            <w:r w:rsidRPr="003338C2">
              <w:rPr>
                <w:color w:val="000000"/>
                <w:sz w:val="20"/>
                <w:szCs w:val="20"/>
              </w:rPr>
              <w:t>-2,3%</w:t>
            </w:r>
          </w:p>
        </w:tc>
      </w:tr>
      <w:tr w:rsidR="008F715D" w:rsidRPr="003338C2" w:rsidTr="002105A0">
        <w:trPr>
          <w:trHeight w:val="330"/>
        </w:trPr>
        <w:tc>
          <w:tcPr>
            <w:tcW w:w="380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338C2" w:rsidRDefault="008F715D" w:rsidP="002105A0">
            <w:pPr>
              <w:rPr>
                <w:color w:val="000000"/>
                <w:sz w:val="20"/>
                <w:szCs w:val="20"/>
              </w:rPr>
            </w:pPr>
            <w:r w:rsidRPr="003338C2">
              <w:rPr>
                <w:color w:val="000000"/>
                <w:sz w:val="20"/>
                <w:szCs w:val="20"/>
                <w:lang w:eastAsia="en-US"/>
              </w:rPr>
              <w:t xml:space="preserve">      Libreville </w:t>
            </w:r>
          </w:p>
        </w:tc>
        <w:tc>
          <w:tcPr>
            <w:tcW w:w="2311"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color w:val="000000"/>
                <w:sz w:val="20"/>
                <w:szCs w:val="20"/>
              </w:rPr>
            </w:pPr>
            <w:r w:rsidRPr="003338C2">
              <w:rPr>
                <w:color w:val="000000"/>
                <w:sz w:val="20"/>
                <w:szCs w:val="20"/>
                <w:lang w:eastAsia="en-US"/>
              </w:rPr>
              <w:t>7 104</w:t>
            </w:r>
          </w:p>
        </w:tc>
        <w:tc>
          <w:tcPr>
            <w:tcW w:w="1559"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color w:val="000000"/>
                <w:sz w:val="20"/>
                <w:szCs w:val="20"/>
              </w:rPr>
            </w:pPr>
            <w:r w:rsidRPr="003338C2">
              <w:rPr>
                <w:color w:val="000000"/>
                <w:sz w:val="20"/>
                <w:szCs w:val="20"/>
                <w:lang w:eastAsia="en-US"/>
              </w:rPr>
              <w:t>6 998</w:t>
            </w:r>
          </w:p>
        </w:tc>
        <w:tc>
          <w:tcPr>
            <w:tcW w:w="1417"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color w:val="000000"/>
                <w:sz w:val="20"/>
                <w:szCs w:val="20"/>
              </w:rPr>
            </w:pPr>
            <w:r w:rsidRPr="003338C2">
              <w:rPr>
                <w:color w:val="000000"/>
                <w:sz w:val="20"/>
                <w:szCs w:val="20"/>
              </w:rPr>
              <w:t>-1,5%</w:t>
            </w:r>
          </w:p>
        </w:tc>
      </w:tr>
      <w:tr w:rsidR="008F715D" w:rsidRPr="003338C2" w:rsidTr="002105A0">
        <w:trPr>
          <w:trHeight w:val="330"/>
        </w:trPr>
        <w:tc>
          <w:tcPr>
            <w:tcW w:w="380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338C2" w:rsidRDefault="008F715D" w:rsidP="002105A0">
            <w:pPr>
              <w:rPr>
                <w:color w:val="000000"/>
                <w:sz w:val="20"/>
                <w:szCs w:val="20"/>
              </w:rPr>
            </w:pPr>
            <w:r w:rsidRPr="003338C2">
              <w:rPr>
                <w:color w:val="000000"/>
                <w:sz w:val="20"/>
                <w:szCs w:val="20"/>
                <w:lang w:eastAsia="en-US"/>
              </w:rPr>
              <w:t xml:space="preserve">      Intérieur </w:t>
            </w:r>
          </w:p>
        </w:tc>
        <w:tc>
          <w:tcPr>
            <w:tcW w:w="2311"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color w:val="000000"/>
                <w:sz w:val="20"/>
                <w:szCs w:val="20"/>
              </w:rPr>
            </w:pPr>
            <w:r w:rsidRPr="003338C2">
              <w:rPr>
                <w:color w:val="000000"/>
                <w:sz w:val="20"/>
                <w:szCs w:val="20"/>
                <w:lang w:eastAsia="en-US"/>
              </w:rPr>
              <w:t>8 343</w:t>
            </w:r>
          </w:p>
        </w:tc>
        <w:tc>
          <w:tcPr>
            <w:tcW w:w="1559"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color w:val="000000"/>
                <w:sz w:val="20"/>
                <w:szCs w:val="20"/>
              </w:rPr>
            </w:pPr>
            <w:r w:rsidRPr="003338C2">
              <w:rPr>
                <w:color w:val="000000"/>
                <w:sz w:val="20"/>
                <w:szCs w:val="20"/>
                <w:lang w:eastAsia="en-US"/>
              </w:rPr>
              <w:t>8 088</w:t>
            </w:r>
          </w:p>
        </w:tc>
        <w:tc>
          <w:tcPr>
            <w:tcW w:w="1417"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color w:val="000000"/>
                <w:sz w:val="20"/>
                <w:szCs w:val="20"/>
              </w:rPr>
            </w:pPr>
            <w:r w:rsidRPr="003338C2">
              <w:rPr>
                <w:color w:val="000000"/>
                <w:sz w:val="20"/>
                <w:szCs w:val="20"/>
              </w:rPr>
              <w:t>-3,1%</w:t>
            </w:r>
          </w:p>
        </w:tc>
      </w:tr>
      <w:tr w:rsidR="008F715D" w:rsidRPr="003338C2" w:rsidTr="002105A0">
        <w:trPr>
          <w:trHeight w:val="330"/>
        </w:trPr>
        <w:tc>
          <w:tcPr>
            <w:tcW w:w="380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3338C2" w:rsidRDefault="008F715D" w:rsidP="002105A0">
            <w:pPr>
              <w:rPr>
                <w:b/>
                <w:bCs/>
                <w:color w:val="000000"/>
                <w:sz w:val="20"/>
                <w:szCs w:val="20"/>
              </w:rPr>
            </w:pPr>
            <w:r w:rsidRPr="003338C2">
              <w:rPr>
                <w:b/>
                <w:bCs/>
                <w:color w:val="000000"/>
                <w:sz w:val="20"/>
                <w:szCs w:val="20"/>
                <w:lang w:eastAsia="en-US"/>
              </w:rPr>
              <w:t xml:space="preserve">Total </w:t>
            </w:r>
          </w:p>
        </w:tc>
        <w:tc>
          <w:tcPr>
            <w:tcW w:w="2311"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b/>
                <w:bCs/>
                <w:color w:val="000000"/>
                <w:sz w:val="20"/>
                <w:szCs w:val="20"/>
              </w:rPr>
            </w:pPr>
            <w:r w:rsidRPr="003338C2">
              <w:rPr>
                <w:b/>
                <w:bCs/>
                <w:color w:val="000000"/>
                <w:sz w:val="20"/>
                <w:szCs w:val="20"/>
              </w:rPr>
              <w:t>102 868</w:t>
            </w:r>
          </w:p>
        </w:tc>
        <w:tc>
          <w:tcPr>
            <w:tcW w:w="1559"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b/>
                <w:bCs/>
                <w:color w:val="000000"/>
                <w:sz w:val="20"/>
                <w:szCs w:val="20"/>
              </w:rPr>
            </w:pPr>
            <w:r w:rsidRPr="003338C2">
              <w:rPr>
                <w:b/>
                <w:bCs/>
                <w:color w:val="000000"/>
                <w:sz w:val="20"/>
                <w:szCs w:val="20"/>
              </w:rPr>
              <w:t>100 481</w:t>
            </w:r>
          </w:p>
        </w:tc>
        <w:tc>
          <w:tcPr>
            <w:tcW w:w="1417" w:type="dxa"/>
            <w:tcBorders>
              <w:top w:val="nil"/>
              <w:left w:val="nil"/>
              <w:bottom w:val="single" w:sz="12" w:space="0" w:color="0070C0"/>
              <w:right w:val="single" w:sz="12" w:space="0" w:color="0070C0"/>
            </w:tcBorders>
            <w:shd w:val="clear" w:color="auto" w:fill="auto"/>
            <w:noWrap/>
            <w:vAlign w:val="center"/>
            <w:hideMark/>
          </w:tcPr>
          <w:p w:rsidR="008F715D" w:rsidRPr="003338C2" w:rsidRDefault="008F715D" w:rsidP="002105A0">
            <w:pPr>
              <w:jc w:val="center"/>
              <w:rPr>
                <w:b/>
                <w:bCs/>
                <w:color w:val="000000"/>
                <w:sz w:val="20"/>
                <w:szCs w:val="20"/>
              </w:rPr>
            </w:pPr>
            <w:r w:rsidRPr="003338C2">
              <w:rPr>
                <w:b/>
                <w:bCs/>
                <w:color w:val="000000"/>
                <w:sz w:val="20"/>
                <w:szCs w:val="20"/>
              </w:rPr>
              <w:t>-2,3%</w:t>
            </w:r>
          </w:p>
        </w:tc>
      </w:tr>
    </w:tbl>
    <w:p w:rsidR="008F715D" w:rsidRPr="005D514F" w:rsidRDefault="008F715D" w:rsidP="008F715D">
      <w:pPr>
        <w:autoSpaceDE w:val="0"/>
        <w:autoSpaceDN w:val="0"/>
        <w:adjustRightInd w:val="0"/>
        <w:rPr>
          <w:i/>
          <w:sz w:val="20"/>
          <w:szCs w:val="20"/>
        </w:rPr>
      </w:pPr>
      <w:r w:rsidRPr="005D514F">
        <w:rPr>
          <w:i/>
          <w:sz w:val="20"/>
          <w:szCs w:val="20"/>
        </w:rPr>
        <w:t>Sources: DGEPF, DGBFiP</w:t>
      </w:r>
    </w:p>
    <w:p w:rsidR="008F715D" w:rsidRPr="00A52E27" w:rsidRDefault="008F715D" w:rsidP="008F715D">
      <w:pPr>
        <w:jc w:val="both"/>
        <w:rPr>
          <w:b/>
          <w:u w:val="single"/>
        </w:rPr>
      </w:pPr>
    </w:p>
    <w:p w:rsidR="008F715D" w:rsidRPr="00B75EA4" w:rsidRDefault="008F715D" w:rsidP="008F715D">
      <w:pPr>
        <w:pStyle w:val="Titre3"/>
        <w:ind w:firstLine="0"/>
        <w:rPr>
          <w:b/>
          <w:bCs/>
          <w:i/>
          <w:iCs/>
          <w:color w:val="0000FF"/>
          <w:sz w:val="24"/>
        </w:rPr>
      </w:pPr>
      <w:bookmarkStart w:id="277" w:name="_Toc462990866"/>
      <w:r w:rsidRPr="00B75EA4">
        <w:rPr>
          <w:b/>
          <w:bCs/>
          <w:i/>
          <w:iCs/>
          <w:color w:val="0000FF"/>
          <w:sz w:val="24"/>
        </w:rPr>
        <w:t>III.2.2 La variation des effectifs par département</w:t>
      </w:r>
      <w:bookmarkEnd w:id="277"/>
    </w:p>
    <w:p w:rsidR="008F715D" w:rsidRDefault="008F715D" w:rsidP="008F715D">
      <w:pPr>
        <w:jc w:val="both"/>
        <w:rPr>
          <w:b/>
          <w:i/>
          <w:u w:val="single"/>
        </w:rPr>
      </w:pPr>
    </w:p>
    <w:p w:rsidR="008F715D" w:rsidRDefault="008F715D" w:rsidP="008F715D">
      <w:pPr>
        <w:pStyle w:val="Paragraphedeliste"/>
        <w:ind w:left="0"/>
        <w:jc w:val="both"/>
        <w:rPr>
          <w:rFonts w:ascii="Times New Roman" w:eastAsiaTheme="minorHAnsi" w:hAnsi="Times New Roman"/>
          <w:sz w:val="24"/>
          <w:szCs w:val="24"/>
        </w:rPr>
      </w:pPr>
      <w:r>
        <w:rPr>
          <w:rFonts w:ascii="Times New Roman" w:eastAsiaTheme="minorHAnsi" w:hAnsi="Times New Roman"/>
          <w:sz w:val="24"/>
          <w:szCs w:val="24"/>
        </w:rPr>
        <w:t xml:space="preserve">A fin juin 2015, la baisse des effectifs de la fonction publique s’explique essentiellement par le repli des emplois de l’administration économique (-15%), des administrations de développement (-2,0%), de l’administration de transport (-2,6%), de l’administration sociale (-2,7%)  et de </w:t>
      </w:r>
      <w:r w:rsidRPr="00D25957">
        <w:rPr>
          <w:rFonts w:ascii="Times New Roman" w:eastAsiaTheme="minorHAnsi" w:hAnsi="Times New Roman"/>
          <w:sz w:val="24"/>
          <w:szCs w:val="24"/>
        </w:rPr>
        <w:t>l’administration</w:t>
      </w:r>
      <w:r>
        <w:rPr>
          <w:rFonts w:ascii="Times New Roman" w:eastAsiaTheme="minorHAnsi" w:hAnsi="Times New Roman"/>
          <w:sz w:val="24"/>
          <w:szCs w:val="24"/>
        </w:rPr>
        <w:t xml:space="preserve"> centrale (-2,8%).</w:t>
      </w:r>
    </w:p>
    <w:p w:rsidR="008F715D" w:rsidRDefault="008F715D" w:rsidP="008F715D">
      <w:pPr>
        <w:pStyle w:val="Paragraphedeliste"/>
        <w:ind w:left="0"/>
        <w:jc w:val="both"/>
        <w:rPr>
          <w:rFonts w:ascii="Times New Roman" w:eastAsiaTheme="minorHAnsi" w:hAnsi="Times New Roman"/>
          <w:sz w:val="24"/>
          <w:szCs w:val="24"/>
        </w:rPr>
      </w:pPr>
    </w:p>
    <w:p w:rsidR="008F715D" w:rsidRDefault="008F715D" w:rsidP="008F715D">
      <w:pPr>
        <w:pStyle w:val="Paragraphedeliste"/>
        <w:ind w:left="0"/>
        <w:jc w:val="both"/>
        <w:rPr>
          <w:rFonts w:ascii="Times New Roman" w:eastAsiaTheme="minorHAnsi" w:hAnsi="Times New Roman"/>
          <w:sz w:val="24"/>
          <w:szCs w:val="24"/>
        </w:rPr>
      </w:pPr>
      <w:r>
        <w:rPr>
          <w:rFonts w:ascii="Times New Roman" w:eastAsiaTheme="minorHAnsi" w:hAnsi="Times New Roman"/>
          <w:sz w:val="24"/>
          <w:szCs w:val="24"/>
        </w:rPr>
        <w:t xml:space="preserve">En revanche, cette contraction des effectifs de l’administration publique a été atténuée par une légère hausse de l’emploi dans l’administration des « pouvoirs publics » (+ 0,1%) et des autres administrations en liaison avec la réorientation de certains agents vers les autres départements. </w:t>
      </w:r>
    </w:p>
    <w:p w:rsidR="008F715D" w:rsidRDefault="008F715D" w:rsidP="008F715D">
      <w:pPr>
        <w:pStyle w:val="Paragraphedeliste"/>
        <w:ind w:left="0"/>
        <w:jc w:val="both"/>
        <w:rPr>
          <w:rFonts w:ascii="Times New Roman" w:eastAsiaTheme="minorHAnsi" w:hAnsi="Times New Roman"/>
          <w:sz w:val="24"/>
          <w:szCs w:val="24"/>
        </w:rPr>
      </w:pPr>
    </w:p>
    <w:p w:rsidR="008F715D" w:rsidRDefault="008F715D" w:rsidP="008F715D">
      <w:pPr>
        <w:pStyle w:val="Paragraphedeliste"/>
        <w:ind w:left="0"/>
        <w:jc w:val="both"/>
        <w:rPr>
          <w:rFonts w:ascii="Times New Roman" w:eastAsiaTheme="minorHAnsi" w:hAnsi="Times New Roman"/>
          <w:sz w:val="24"/>
          <w:szCs w:val="24"/>
        </w:rPr>
      </w:pPr>
    </w:p>
    <w:p w:rsidR="008F715D" w:rsidRDefault="008F715D" w:rsidP="008F715D">
      <w:pPr>
        <w:pStyle w:val="Paragraphedeliste"/>
        <w:ind w:left="0"/>
        <w:jc w:val="both"/>
        <w:rPr>
          <w:rFonts w:ascii="Times New Roman" w:eastAsiaTheme="minorHAnsi" w:hAnsi="Times New Roman"/>
          <w:sz w:val="24"/>
          <w:szCs w:val="24"/>
        </w:rPr>
      </w:pPr>
    </w:p>
    <w:p w:rsidR="008F715D" w:rsidRDefault="008F715D" w:rsidP="008F715D">
      <w:pPr>
        <w:pStyle w:val="Paragraphedeliste"/>
        <w:ind w:left="0"/>
        <w:jc w:val="both"/>
        <w:rPr>
          <w:rFonts w:ascii="Times New Roman" w:eastAsiaTheme="minorHAnsi" w:hAnsi="Times New Roman"/>
          <w:sz w:val="24"/>
          <w:szCs w:val="24"/>
        </w:rPr>
      </w:pPr>
    </w:p>
    <w:p w:rsidR="008F715D" w:rsidRDefault="008F715D" w:rsidP="008F715D">
      <w:pPr>
        <w:pStyle w:val="Paragraphedeliste"/>
        <w:ind w:left="0"/>
        <w:jc w:val="both"/>
        <w:rPr>
          <w:rFonts w:ascii="Times New Roman" w:eastAsiaTheme="minorHAnsi" w:hAnsi="Times New Roman"/>
          <w:sz w:val="24"/>
          <w:szCs w:val="24"/>
        </w:rPr>
      </w:pPr>
    </w:p>
    <w:p w:rsidR="008F715D" w:rsidRDefault="008F715D" w:rsidP="008F715D">
      <w:pPr>
        <w:pStyle w:val="Paragraphedeliste"/>
        <w:ind w:left="0"/>
        <w:jc w:val="both"/>
        <w:rPr>
          <w:rFonts w:ascii="Times New Roman" w:eastAsiaTheme="minorHAnsi" w:hAnsi="Times New Roman"/>
          <w:sz w:val="24"/>
          <w:szCs w:val="24"/>
        </w:rPr>
      </w:pPr>
    </w:p>
    <w:p w:rsidR="008F715D" w:rsidRDefault="008F715D" w:rsidP="008F715D">
      <w:pPr>
        <w:pStyle w:val="Paragraphedeliste"/>
        <w:ind w:left="0"/>
        <w:jc w:val="both"/>
        <w:rPr>
          <w:rFonts w:ascii="Times New Roman" w:eastAsiaTheme="minorHAnsi" w:hAnsi="Times New Roman"/>
          <w:sz w:val="24"/>
          <w:szCs w:val="24"/>
        </w:rPr>
      </w:pPr>
    </w:p>
    <w:p w:rsidR="008F715D" w:rsidRPr="00A125D0" w:rsidRDefault="008F715D" w:rsidP="008F715D">
      <w:pPr>
        <w:autoSpaceDE w:val="0"/>
        <w:autoSpaceDN w:val="0"/>
        <w:adjustRightInd w:val="0"/>
        <w:spacing w:line="276" w:lineRule="auto"/>
        <w:jc w:val="both"/>
        <w:rPr>
          <w:rFonts w:eastAsiaTheme="minorHAnsi"/>
          <w:b/>
          <w:bCs/>
          <w:iCs/>
          <w:lang w:eastAsia="en-US"/>
        </w:rPr>
      </w:pPr>
      <w:r w:rsidRPr="008752C4">
        <w:rPr>
          <w:rFonts w:eastAsiaTheme="minorHAnsi"/>
          <w:b/>
          <w:bCs/>
          <w:i/>
          <w:iCs/>
          <w:lang w:eastAsia="en-US"/>
        </w:rPr>
        <w:t>Evolution des effectifs de l’Administr</w:t>
      </w:r>
      <w:r>
        <w:rPr>
          <w:rFonts w:eastAsiaTheme="minorHAnsi"/>
          <w:b/>
          <w:bCs/>
          <w:i/>
          <w:iCs/>
          <w:lang w:eastAsia="en-US"/>
        </w:rPr>
        <w:t xml:space="preserve">ation centrale par département </w:t>
      </w:r>
    </w:p>
    <w:tbl>
      <w:tblPr>
        <w:tblW w:w="9087" w:type="dxa"/>
        <w:tblInd w:w="55" w:type="dxa"/>
        <w:tblCellMar>
          <w:left w:w="70" w:type="dxa"/>
          <w:right w:w="70" w:type="dxa"/>
        </w:tblCellMar>
        <w:tblLook w:val="04A0"/>
      </w:tblPr>
      <w:tblGrid>
        <w:gridCol w:w="2640"/>
        <w:gridCol w:w="2337"/>
        <w:gridCol w:w="2126"/>
        <w:gridCol w:w="1984"/>
      </w:tblGrid>
      <w:tr w:rsidR="008F715D" w:rsidRPr="00C150A1" w:rsidTr="002105A0">
        <w:trPr>
          <w:trHeight w:val="330"/>
        </w:trPr>
        <w:tc>
          <w:tcPr>
            <w:tcW w:w="2640" w:type="dxa"/>
            <w:vMerge w:val="restart"/>
            <w:tcBorders>
              <w:top w:val="single" w:sz="12" w:space="0" w:color="0070C0"/>
              <w:left w:val="single" w:sz="12" w:space="0" w:color="0070C0"/>
              <w:bottom w:val="single" w:sz="12" w:space="0" w:color="0070C0"/>
              <w:right w:val="single" w:sz="12" w:space="0" w:color="0070C0"/>
            </w:tcBorders>
            <w:shd w:val="clear" w:color="000000" w:fill="FFFFFF"/>
            <w:noWrap/>
            <w:vAlign w:val="center"/>
            <w:hideMark/>
          </w:tcPr>
          <w:p w:rsidR="008F715D" w:rsidRPr="00C150A1" w:rsidRDefault="008F715D" w:rsidP="002105A0">
            <w:pPr>
              <w:rPr>
                <w:b/>
                <w:bCs/>
                <w:color w:val="000000"/>
                <w:sz w:val="20"/>
                <w:szCs w:val="20"/>
              </w:rPr>
            </w:pPr>
            <w:r w:rsidRPr="00C150A1">
              <w:rPr>
                <w:b/>
                <w:bCs/>
                <w:color w:val="000000"/>
                <w:sz w:val="20"/>
                <w:szCs w:val="20"/>
                <w:lang w:eastAsia="en-US"/>
              </w:rPr>
              <w:t>Départements</w:t>
            </w:r>
          </w:p>
        </w:tc>
        <w:tc>
          <w:tcPr>
            <w:tcW w:w="4463" w:type="dxa"/>
            <w:gridSpan w:val="2"/>
            <w:tcBorders>
              <w:top w:val="single" w:sz="12" w:space="0" w:color="0070C0"/>
              <w:left w:val="nil"/>
              <w:bottom w:val="single" w:sz="12" w:space="0" w:color="0070C0"/>
              <w:right w:val="single" w:sz="12" w:space="0" w:color="0070C0"/>
            </w:tcBorders>
            <w:shd w:val="clear" w:color="000000" w:fill="FFFFFF"/>
            <w:noWrap/>
            <w:vAlign w:val="center"/>
            <w:hideMark/>
          </w:tcPr>
          <w:p w:rsidR="008F715D" w:rsidRPr="00C150A1" w:rsidRDefault="008F715D" w:rsidP="002105A0">
            <w:pPr>
              <w:jc w:val="center"/>
              <w:rPr>
                <w:b/>
                <w:bCs/>
                <w:color w:val="000000"/>
                <w:sz w:val="20"/>
                <w:szCs w:val="20"/>
              </w:rPr>
            </w:pPr>
            <w:r w:rsidRPr="00C150A1">
              <w:rPr>
                <w:b/>
                <w:bCs/>
                <w:color w:val="000000"/>
                <w:sz w:val="20"/>
                <w:szCs w:val="20"/>
                <w:lang w:eastAsia="en-US"/>
              </w:rPr>
              <w:t>Premier semestre</w:t>
            </w:r>
          </w:p>
        </w:tc>
        <w:tc>
          <w:tcPr>
            <w:tcW w:w="1984" w:type="dxa"/>
            <w:vMerge w:val="restart"/>
            <w:tcBorders>
              <w:top w:val="single" w:sz="12" w:space="0" w:color="0070C0"/>
              <w:left w:val="single" w:sz="12" w:space="0" w:color="0070C0"/>
              <w:bottom w:val="single" w:sz="12" w:space="0" w:color="0070C0"/>
              <w:right w:val="single" w:sz="12" w:space="0" w:color="0070C0"/>
            </w:tcBorders>
            <w:shd w:val="clear" w:color="000000" w:fill="FFFFFF"/>
            <w:noWrap/>
            <w:vAlign w:val="center"/>
            <w:hideMark/>
          </w:tcPr>
          <w:p w:rsidR="008F715D" w:rsidRPr="00C150A1" w:rsidRDefault="008F715D" w:rsidP="002105A0">
            <w:pPr>
              <w:jc w:val="center"/>
              <w:rPr>
                <w:b/>
                <w:bCs/>
                <w:color w:val="000000"/>
                <w:sz w:val="20"/>
                <w:szCs w:val="20"/>
              </w:rPr>
            </w:pPr>
            <w:r w:rsidRPr="00C150A1">
              <w:rPr>
                <w:b/>
                <w:bCs/>
                <w:color w:val="000000"/>
                <w:sz w:val="20"/>
                <w:szCs w:val="20"/>
                <w:lang w:eastAsia="en-US"/>
              </w:rPr>
              <w:t>Var 16/15</w:t>
            </w:r>
          </w:p>
        </w:tc>
      </w:tr>
      <w:tr w:rsidR="008F715D" w:rsidRPr="00C150A1" w:rsidTr="002105A0">
        <w:trPr>
          <w:trHeight w:val="330"/>
        </w:trPr>
        <w:tc>
          <w:tcPr>
            <w:tcW w:w="2640"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C150A1" w:rsidRDefault="008F715D" w:rsidP="002105A0">
            <w:pPr>
              <w:rPr>
                <w:b/>
                <w:bCs/>
                <w:color w:val="000000"/>
                <w:sz w:val="20"/>
                <w:szCs w:val="20"/>
              </w:rPr>
            </w:pPr>
          </w:p>
        </w:tc>
        <w:tc>
          <w:tcPr>
            <w:tcW w:w="2337" w:type="dxa"/>
            <w:tcBorders>
              <w:top w:val="nil"/>
              <w:left w:val="nil"/>
              <w:bottom w:val="single" w:sz="12" w:space="0" w:color="0070C0"/>
              <w:right w:val="single" w:sz="12" w:space="0" w:color="0070C0"/>
            </w:tcBorders>
            <w:shd w:val="clear" w:color="000000" w:fill="FFFFFF"/>
            <w:noWrap/>
            <w:vAlign w:val="center"/>
            <w:hideMark/>
          </w:tcPr>
          <w:p w:rsidR="008F715D" w:rsidRPr="00C150A1" w:rsidRDefault="008F715D" w:rsidP="002105A0">
            <w:pPr>
              <w:jc w:val="center"/>
              <w:rPr>
                <w:b/>
                <w:bCs/>
                <w:color w:val="000000"/>
                <w:sz w:val="20"/>
                <w:szCs w:val="20"/>
              </w:rPr>
            </w:pPr>
            <w:r w:rsidRPr="00C150A1">
              <w:rPr>
                <w:b/>
                <w:bCs/>
                <w:color w:val="000000"/>
                <w:sz w:val="20"/>
                <w:szCs w:val="20"/>
                <w:lang w:eastAsia="en-US"/>
              </w:rPr>
              <w:t>2015</w:t>
            </w:r>
          </w:p>
        </w:tc>
        <w:tc>
          <w:tcPr>
            <w:tcW w:w="2126" w:type="dxa"/>
            <w:tcBorders>
              <w:top w:val="nil"/>
              <w:left w:val="nil"/>
              <w:bottom w:val="single" w:sz="12" w:space="0" w:color="0070C0"/>
              <w:right w:val="single" w:sz="12" w:space="0" w:color="0070C0"/>
            </w:tcBorders>
            <w:shd w:val="clear" w:color="000000" w:fill="FFFFFF"/>
            <w:noWrap/>
            <w:vAlign w:val="center"/>
            <w:hideMark/>
          </w:tcPr>
          <w:p w:rsidR="008F715D" w:rsidRPr="00C150A1" w:rsidRDefault="008F715D" w:rsidP="002105A0">
            <w:pPr>
              <w:jc w:val="center"/>
              <w:rPr>
                <w:b/>
                <w:bCs/>
                <w:color w:val="000000"/>
                <w:sz w:val="20"/>
                <w:szCs w:val="20"/>
              </w:rPr>
            </w:pPr>
            <w:r w:rsidRPr="00C150A1">
              <w:rPr>
                <w:b/>
                <w:bCs/>
                <w:color w:val="000000"/>
                <w:sz w:val="20"/>
                <w:szCs w:val="20"/>
                <w:lang w:eastAsia="en-US"/>
              </w:rPr>
              <w:t>2016</w:t>
            </w:r>
          </w:p>
        </w:tc>
        <w:tc>
          <w:tcPr>
            <w:tcW w:w="1984"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C150A1" w:rsidRDefault="008F715D" w:rsidP="002105A0">
            <w:pPr>
              <w:jc w:val="center"/>
              <w:rPr>
                <w:b/>
                <w:bCs/>
                <w:color w:val="000000"/>
                <w:sz w:val="20"/>
                <w:szCs w:val="20"/>
              </w:rPr>
            </w:pPr>
          </w:p>
        </w:tc>
      </w:tr>
      <w:tr w:rsidR="008F715D" w:rsidRPr="00C150A1" w:rsidTr="002105A0">
        <w:trPr>
          <w:trHeight w:val="330"/>
        </w:trPr>
        <w:tc>
          <w:tcPr>
            <w:tcW w:w="26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150A1" w:rsidRDefault="008F715D" w:rsidP="002105A0">
            <w:pPr>
              <w:rPr>
                <w:color w:val="000000"/>
                <w:sz w:val="20"/>
                <w:szCs w:val="20"/>
              </w:rPr>
            </w:pPr>
            <w:r w:rsidRPr="00C150A1">
              <w:rPr>
                <w:color w:val="000000"/>
                <w:sz w:val="20"/>
                <w:szCs w:val="20"/>
                <w:lang w:eastAsia="en-US"/>
              </w:rPr>
              <w:t>Pouvoirs publics</w:t>
            </w:r>
          </w:p>
        </w:tc>
        <w:tc>
          <w:tcPr>
            <w:tcW w:w="2337"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24 942</w:t>
            </w:r>
          </w:p>
        </w:tc>
        <w:tc>
          <w:tcPr>
            <w:tcW w:w="2126"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24 959</w:t>
            </w:r>
          </w:p>
        </w:tc>
        <w:tc>
          <w:tcPr>
            <w:tcW w:w="1984" w:type="dxa"/>
            <w:tcBorders>
              <w:top w:val="nil"/>
              <w:left w:val="nil"/>
              <w:bottom w:val="single" w:sz="12" w:space="0" w:color="0070C0"/>
              <w:right w:val="single" w:sz="12" w:space="0" w:color="0070C0"/>
            </w:tcBorders>
            <w:shd w:val="clear" w:color="auto" w:fill="auto"/>
            <w:noWrap/>
            <w:vAlign w:val="center"/>
            <w:hideMark/>
          </w:tcPr>
          <w:p w:rsidR="008F715D" w:rsidRPr="00C150A1" w:rsidRDefault="008F715D" w:rsidP="002105A0">
            <w:pPr>
              <w:jc w:val="center"/>
              <w:rPr>
                <w:color w:val="000000"/>
                <w:sz w:val="20"/>
                <w:szCs w:val="20"/>
              </w:rPr>
            </w:pPr>
            <w:r w:rsidRPr="00C150A1">
              <w:rPr>
                <w:color w:val="000000"/>
                <w:sz w:val="20"/>
                <w:szCs w:val="20"/>
              </w:rPr>
              <w:t>0,1%</w:t>
            </w:r>
          </w:p>
        </w:tc>
      </w:tr>
      <w:tr w:rsidR="008F715D" w:rsidRPr="00C150A1" w:rsidTr="002105A0">
        <w:trPr>
          <w:trHeight w:val="330"/>
        </w:trPr>
        <w:tc>
          <w:tcPr>
            <w:tcW w:w="26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150A1" w:rsidRDefault="008F715D" w:rsidP="002105A0">
            <w:pPr>
              <w:rPr>
                <w:color w:val="000000"/>
                <w:sz w:val="20"/>
                <w:szCs w:val="20"/>
              </w:rPr>
            </w:pPr>
            <w:r w:rsidRPr="00C150A1">
              <w:rPr>
                <w:color w:val="000000"/>
                <w:sz w:val="20"/>
                <w:szCs w:val="20"/>
                <w:lang w:eastAsia="en-US"/>
              </w:rPr>
              <w:t>Administration Centrale</w:t>
            </w:r>
          </w:p>
        </w:tc>
        <w:tc>
          <w:tcPr>
            <w:tcW w:w="2337"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11 960</w:t>
            </w:r>
          </w:p>
        </w:tc>
        <w:tc>
          <w:tcPr>
            <w:tcW w:w="2126"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11 627</w:t>
            </w:r>
          </w:p>
        </w:tc>
        <w:tc>
          <w:tcPr>
            <w:tcW w:w="1984" w:type="dxa"/>
            <w:tcBorders>
              <w:top w:val="nil"/>
              <w:left w:val="nil"/>
              <w:bottom w:val="single" w:sz="12" w:space="0" w:color="0070C0"/>
              <w:right w:val="single" w:sz="12" w:space="0" w:color="0070C0"/>
            </w:tcBorders>
            <w:shd w:val="clear" w:color="auto" w:fill="auto"/>
            <w:noWrap/>
            <w:vAlign w:val="center"/>
            <w:hideMark/>
          </w:tcPr>
          <w:p w:rsidR="008F715D" w:rsidRPr="00C150A1" w:rsidRDefault="008F715D" w:rsidP="002105A0">
            <w:pPr>
              <w:jc w:val="center"/>
              <w:rPr>
                <w:color w:val="000000"/>
                <w:sz w:val="20"/>
                <w:szCs w:val="20"/>
              </w:rPr>
            </w:pPr>
            <w:r w:rsidRPr="00C150A1">
              <w:rPr>
                <w:color w:val="000000"/>
                <w:sz w:val="20"/>
                <w:szCs w:val="20"/>
              </w:rPr>
              <w:t>-2,8%</w:t>
            </w:r>
          </w:p>
        </w:tc>
      </w:tr>
      <w:tr w:rsidR="008F715D" w:rsidRPr="00C150A1" w:rsidTr="002105A0">
        <w:trPr>
          <w:trHeight w:val="330"/>
        </w:trPr>
        <w:tc>
          <w:tcPr>
            <w:tcW w:w="26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150A1" w:rsidRDefault="008F715D" w:rsidP="002105A0">
            <w:pPr>
              <w:rPr>
                <w:color w:val="000000"/>
                <w:sz w:val="20"/>
                <w:szCs w:val="20"/>
              </w:rPr>
            </w:pPr>
            <w:r w:rsidRPr="00C150A1">
              <w:rPr>
                <w:color w:val="000000"/>
                <w:sz w:val="20"/>
                <w:szCs w:val="20"/>
                <w:lang w:eastAsia="en-US"/>
              </w:rPr>
              <w:t>Administration Economique</w:t>
            </w:r>
          </w:p>
        </w:tc>
        <w:tc>
          <w:tcPr>
            <w:tcW w:w="2337"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8 137</w:t>
            </w:r>
          </w:p>
        </w:tc>
        <w:tc>
          <w:tcPr>
            <w:tcW w:w="2126"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6 901</w:t>
            </w:r>
          </w:p>
        </w:tc>
        <w:tc>
          <w:tcPr>
            <w:tcW w:w="1984" w:type="dxa"/>
            <w:tcBorders>
              <w:top w:val="nil"/>
              <w:left w:val="nil"/>
              <w:bottom w:val="single" w:sz="12" w:space="0" w:color="0070C0"/>
              <w:right w:val="single" w:sz="12" w:space="0" w:color="0070C0"/>
            </w:tcBorders>
            <w:shd w:val="clear" w:color="auto" w:fill="auto"/>
            <w:noWrap/>
            <w:vAlign w:val="center"/>
            <w:hideMark/>
          </w:tcPr>
          <w:p w:rsidR="008F715D" w:rsidRPr="00C150A1" w:rsidRDefault="008F715D" w:rsidP="002105A0">
            <w:pPr>
              <w:jc w:val="center"/>
              <w:rPr>
                <w:color w:val="000000"/>
                <w:sz w:val="20"/>
                <w:szCs w:val="20"/>
              </w:rPr>
            </w:pPr>
            <w:r w:rsidRPr="00C150A1">
              <w:rPr>
                <w:color w:val="000000"/>
                <w:sz w:val="20"/>
                <w:szCs w:val="20"/>
              </w:rPr>
              <w:t>-15,2%</w:t>
            </w:r>
          </w:p>
        </w:tc>
      </w:tr>
      <w:tr w:rsidR="008F715D" w:rsidRPr="00C150A1" w:rsidTr="002105A0">
        <w:trPr>
          <w:trHeight w:val="330"/>
        </w:trPr>
        <w:tc>
          <w:tcPr>
            <w:tcW w:w="26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150A1" w:rsidRDefault="008F715D" w:rsidP="002105A0">
            <w:pPr>
              <w:rPr>
                <w:color w:val="000000"/>
                <w:sz w:val="20"/>
                <w:szCs w:val="20"/>
              </w:rPr>
            </w:pPr>
            <w:r w:rsidRPr="00C150A1">
              <w:rPr>
                <w:color w:val="000000"/>
                <w:sz w:val="20"/>
                <w:szCs w:val="20"/>
                <w:lang w:eastAsia="en-US"/>
              </w:rPr>
              <w:t>Administration Développement</w:t>
            </w:r>
          </w:p>
        </w:tc>
        <w:tc>
          <w:tcPr>
            <w:tcW w:w="2337"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4 121</w:t>
            </w:r>
          </w:p>
        </w:tc>
        <w:tc>
          <w:tcPr>
            <w:tcW w:w="2126"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4 037</w:t>
            </w:r>
          </w:p>
        </w:tc>
        <w:tc>
          <w:tcPr>
            <w:tcW w:w="1984" w:type="dxa"/>
            <w:tcBorders>
              <w:top w:val="nil"/>
              <w:left w:val="nil"/>
              <w:bottom w:val="single" w:sz="12" w:space="0" w:color="0070C0"/>
              <w:right w:val="single" w:sz="12" w:space="0" w:color="0070C0"/>
            </w:tcBorders>
            <w:shd w:val="clear" w:color="auto" w:fill="auto"/>
            <w:noWrap/>
            <w:vAlign w:val="center"/>
            <w:hideMark/>
          </w:tcPr>
          <w:p w:rsidR="008F715D" w:rsidRPr="00C150A1" w:rsidRDefault="008F715D" w:rsidP="002105A0">
            <w:pPr>
              <w:jc w:val="center"/>
              <w:rPr>
                <w:color w:val="000000"/>
                <w:sz w:val="20"/>
                <w:szCs w:val="20"/>
              </w:rPr>
            </w:pPr>
            <w:r w:rsidRPr="00C150A1">
              <w:rPr>
                <w:color w:val="000000"/>
                <w:sz w:val="20"/>
                <w:szCs w:val="20"/>
              </w:rPr>
              <w:t>-2,0%</w:t>
            </w:r>
          </w:p>
        </w:tc>
      </w:tr>
      <w:tr w:rsidR="008F715D" w:rsidRPr="00C150A1" w:rsidTr="002105A0">
        <w:trPr>
          <w:trHeight w:val="330"/>
        </w:trPr>
        <w:tc>
          <w:tcPr>
            <w:tcW w:w="26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150A1" w:rsidRDefault="008F715D" w:rsidP="002105A0">
            <w:pPr>
              <w:rPr>
                <w:color w:val="000000"/>
                <w:sz w:val="20"/>
                <w:szCs w:val="20"/>
              </w:rPr>
            </w:pPr>
            <w:r w:rsidRPr="00C150A1">
              <w:rPr>
                <w:color w:val="000000"/>
                <w:sz w:val="20"/>
                <w:szCs w:val="20"/>
                <w:lang w:eastAsia="en-US"/>
              </w:rPr>
              <w:t>Administration des Transports</w:t>
            </w:r>
          </w:p>
        </w:tc>
        <w:tc>
          <w:tcPr>
            <w:tcW w:w="2337"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1 274</w:t>
            </w:r>
          </w:p>
        </w:tc>
        <w:tc>
          <w:tcPr>
            <w:tcW w:w="2126"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1 241</w:t>
            </w:r>
          </w:p>
        </w:tc>
        <w:tc>
          <w:tcPr>
            <w:tcW w:w="1984" w:type="dxa"/>
            <w:tcBorders>
              <w:top w:val="nil"/>
              <w:left w:val="nil"/>
              <w:bottom w:val="single" w:sz="12" w:space="0" w:color="0070C0"/>
              <w:right w:val="single" w:sz="12" w:space="0" w:color="0070C0"/>
            </w:tcBorders>
            <w:shd w:val="clear" w:color="auto" w:fill="auto"/>
            <w:noWrap/>
            <w:vAlign w:val="center"/>
            <w:hideMark/>
          </w:tcPr>
          <w:p w:rsidR="008F715D" w:rsidRPr="00C150A1" w:rsidRDefault="008F715D" w:rsidP="002105A0">
            <w:pPr>
              <w:jc w:val="center"/>
              <w:rPr>
                <w:color w:val="000000"/>
                <w:sz w:val="20"/>
                <w:szCs w:val="20"/>
              </w:rPr>
            </w:pPr>
            <w:r w:rsidRPr="00C150A1">
              <w:rPr>
                <w:color w:val="000000"/>
                <w:sz w:val="20"/>
                <w:szCs w:val="20"/>
              </w:rPr>
              <w:t>-2,6%</w:t>
            </w:r>
          </w:p>
        </w:tc>
      </w:tr>
      <w:tr w:rsidR="008F715D" w:rsidRPr="00C150A1" w:rsidTr="002105A0">
        <w:trPr>
          <w:trHeight w:val="330"/>
        </w:trPr>
        <w:tc>
          <w:tcPr>
            <w:tcW w:w="26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150A1" w:rsidRDefault="008F715D" w:rsidP="002105A0">
            <w:pPr>
              <w:rPr>
                <w:color w:val="000000"/>
                <w:sz w:val="20"/>
                <w:szCs w:val="20"/>
              </w:rPr>
            </w:pPr>
            <w:r w:rsidRPr="00C150A1">
              <w:rPr>
                <w:color w:val="000000"/>
                <w:sz w:val="20"/>
                <w:szCs w:val="20"/>
                <w:lang w:eastAsia="en-US"/>
              </w:rPr>
              <w:t>Administration de l'Education</w:t>
            </w:r>
          </w:p>
        </w:tc>
        <w:tc>
          <w:tcPr>
            <w:tcW w:w="2337"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25 187</w:t>
            </w:r>
          </w:p>
        </w:tc>
        <w:tc>
          <w:tcPr>
            <w:tcW w:w="2126"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24 938</w:t>
            </w:r>
          </w:p>
        </w:tc>
        <w:tc>
          <w:tcPr>
            <w:tcW w:w="1984" w:type="dxa"/>
            <w:tcBorders>
              <w:top w:val="nil"/>
              <w:left w:val="nil"/>
              <w:bottom w:val="single" w:sz="12" w:space="0" w:color="0070C0"/>
              <w:right w:val="single" w:sz="12" w:space="0" w:color="0070C0"/>
            </w:tcBorders>
            <w:shd w:val="clear" w:color="auto" w:fill="auto"/>
            <w:noWrap/>
            <w:vAlign w:val="center"/>
            <w:hideMark/>
          </w:tcPr>
          <w:p w:rsidR="008F715D" w:rsidRPr="00C150A1" w:rsidRDefault="008F715D" w:rsidP="002105A0">
            <w:pPr>
              <w:jc w:val="center"/>
              <w:rPr>
                <w:color w:val="000000"/>
                <w:sz w:val="20"/>
                <w:szCs w:val="20"/>
              </w:rPr>
            </w:pPr>
            <w:r w:rsidRPr="00C150A1">
              <w:rPr>
                <w:color w:val="000000"/>
                <w:sz w:val="20"/>
                <w:szCs w:val="20"/>
              </w:rPr>
              <w:t>-1,0%</w:t>
            </w:r>
          </w:p>
        </w:tc>
      </w:tr>
      <w:tr w:rsidR="008F715D" w:rsidRPr="00C150A1" w:rsidTr="002105A0">
        <w:trPr>
          <w:trHeight w:val="330"/>
        </w:trPr>
        <w:tc>
          <w:tcPr>
            <w:tcW w:w="26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150A1" w:rsidRDefault="008F715D" w:rsidP="002105A0">
            <w:pPr>
              <w:rPr>
                <w:color w:val="000000"/>
                <w:sz w:val="20"/>
                <w:szCs w:val="20"/>
              </w:rPr>
            </w:pPr>
            <w:r w:rsidRPr="00C150A1">
              <w:rPr>
                <w:color w:val="000000"/>
                <w:sz w:val="20"/>
                <w:szCs w:val="20"/>
                <w:lang w:eastAsia="en-US"/>
              </w:rPr>
              <w:t>Administration sociale</w:t>
            </w:r>
          </w:p>
        </w:tc>
        <w:tc>
          <w:tcPr>
            <w:tcW w:w="2337"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11 764</w:t>
            </w:r>
          </w:p>
        </w:tc>
        <w:tc>
          <w:tcPr>
            <w:tcW w:w="2126"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11 449</w:t>
            </w:r>
          </w:p>
        </w:tc>
        <w:tc>
          <w:tcPr>
            <w:tcW w:w="1984" w:type="dxa"/>
            <w:tcBorders>
              <w:top w:val="nil"/>
              <w:left w:val="nil"/>
              <w:bottom w:val="single" w:sz="12" w:space="0" w:color="0070C0"/>
              <w:right w:val="single" w:sz="12" w:space="0" w:color="0070C0"/>
            </w:tcBorders>
            <w:shd w:val="clear" w:color="auto" w:fill="auto"/>
            <w:noWrap/>
            <w:vAlign w:val="center"/>
            <w:hideMark/>
          </w:tcPr>
          <w:p w:rsidR="008F715D" w:rsidRPr="00C150A1" w:rsidRDefault="008F715D" w:rsidP="002105A0">
            <w:pPr>
              <w:jc w:val="center"/>
              <w:rPr>
                <w:color w:val="000000"/>
                <w:sz w:val="20"/>
                <w:szCs w:val="20"/>
              </w:rPr>
            </w:pPr>
            <w:r w:rsidRPr="00C150A1">
              <w:rPr>
                <w:color w:val="000000"/>
                <w:sz w:val="20"/>
                <w:szCs w:val="20"/>
              </w:rPr>
              <w:t>-2,7%</w:t>
            </w:r>
          </w:p>
        </w:tc>
      </w:tr>
      <w:tr w:rsidR="008F715D" w:rsidRPr="00C150A1" w:rsidTr="002105A0">
        <w:trPr>
          <w:trHeight w:val="330"/>
        </w:trPr>
        <w:tc>
          <w:tcPr>
            <w:tcW w:w="26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150A1" w:rsidRDefault="008F715D" w:rsidP="002105A0">
            <w:pPr>
              <w:rPr>
                <w:color w:val="000000"/>
                <w:sz w:val="20"/>
                <w:szCs w:val="20"/>
              </w:rPr>
            </w:pPr>
            <w:r w:rsidRPr="00C150A1">
              <w:rPr>
                <w:color w:val="000000"/>
                <w:sz w:val="20"/>
                <w:szCs w:val="20"/>
                <w:lang w:eastAsia="en-US"/>
              </w:rPr>
              <w:t>Autres</w:t>
            </w:r>
          </w:p>
        </w:tc>
        <w:tc>
          <w:tcPr>
            <w:tcW w:w="2337"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36</w:t>
            </w:r>
          </w:p>
        </w:tc>
        <w:tc>
          <w:tcPr>
            <w:tcW w:w="2126" w:type="dxa"/>
            <w:tcBorders>
              <w:top w:val="nil"/>
              <w:left w:val="nil"/>
              <w:bottom w:val="single" w:sz="12" w:space="0" w:color="0070C0"/>
              <w:right w:val="single" w:sz="12" w:space="0" w:color="0070C0"/>
            </w:tcBorders>
            <w:shd w:val="clear" w:color="auto" w:fill="auto"/>
            <w:vAlign w:val="center"/>
            <w:hideMark/>
          </w:tcPr>
          <w:p w:rsidR="008F715D" w:rsidRPr="00C150A1" w:rsidRDefault="008F715D" w:rsidP="002105A0">
            <w:pPr>
              <w:jc w:val="center"/>
              <w:rPr>
                <w:color w:val="000000"/>
                <w:sz w:val="20"/>
                <w:szCs w:val="20"/>
              </w:rPr>
            </w:pPr>
            <w:r w:rsidRPr="00C150A1">
              <w:rPr>
                <w:color w:val="000000"/>
                <w:sz w:val="20"/>
                <w:szCs w:val="20"/>
                <w:lang w:eastAsia="en-US"/>
              </w:rPr>
              <w:t>243</w:t>
            </w:r>
          </w:p>
        </w:tc>
        <w:tc>
          <w:tcPr>
            <w:tcW w:w="1984" w:type="dxa"/>
            <w:tcBorders>
              <w:top w:val="nil"/>
              <w:left w:val="nil"/>
              <w:bottom w:val="single" w:sz="12" w:space="0" w:color="0070C0"/>
              <w:right w:val="single" w:sz="12" w:space="0" w:color="0070C0"/>
            </w:tcBorders>
            <w:shd w:val="clear" w:color="auto" w:fill="auto"/>
            <w:noWrap/>
            <w:vAlign w:val="center"/>
            <w:hideMark/>
          </w:tcPr>
          <w:p w:rsidR="008F715D" w:rsidRPr="00C150A1" w:rsidRDefault="008F715D" w:rsidP="002105A0">
            <w:pPr>
              <w:jc w:val="center"/>
              <w:rPr>
                <w:color w:val="000000"/>
                <w:sz w:val="20"/>
                <w:szCs w:val="20"/>
              </w:rPr>
            </w:pPr>
            <w:r w:rsidRPr="00C150A1">
              <w:rPr>
                <w:color w:val="000000"/>
                <w:sz w:val="20"/>
                <w:szCs w:val="20"/>
              </w:rPr>
              <w:t>575,0%</w:t>
            </w:r>
          </w:p>
        </w:tc>
      </w:tr>
      <w:tr w:rsidR="008F715D" w:rsidRPr="00C150A1" w:rsidTr="002105A0">
        <w:trPr>
          <w:trHeight w:val="330"/>
        </w:trPr>
        <w:tc>
          <w:tcPr>
            <w:tcW w:w="264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40262" w:rsidRDefault="008F715D" w:rsidP="002105A0">
            <w:pPr>
              <w:rPr>
                <w:b/>
                <w:bCs/>
                <w:color w:val="000000"/>
                <w:sz w:val="20"/>
                <w:szCs w:val="20"/>
              </w:rPr>
            </w:pPr>
            <w:r w:rsidRPr="00940262">
              <w:rPr>
                <w:b/>
                <w:bCs/>
                <w:color w:val="000000"/>
                <w:sz w:val="20"/>
                <w:szCs w:val="20"/>
                <w:lang w:eastAsia="en-US"/>
              </w:rPr>
              <w:t xml:space="preserve">TOTAL </w:t>
            </w:r>
          </w:p>
        </w:tc>
        <w:tc>
          <w:tcPr>
            <w:tcW w:w="2337" w:type="dxa"/>
            <w:tcBorders>
              <w:top w:val="nil"/>
              <w:left w:val="nil"/>
              <w:bottom w:val="single" w:sz="12" w:space="0" w:color="0070C0"/>
              <w:right w:val="single" w:sz="12" w:space="0" w:color="0070C0"/>
            </w:tcBorders>
            <w:shd w:val="clear" w:color="auto" w:fill="auto"/>
            <w:vAlign w:val="center"/>
            <w:hideMark/>
          </w:tcPr>
          <w:p w:rsidR="008F715D" w:rsidRPr="00940262" w:rsidRDefault="008F715D" w:rsidP="002105A0">
            <w:pPr>
              <w:jc w:val="center"/>
              <w:rPr>
                <w:b/>
                <w:color w:val="000000"/>
                <w:sz w:val="20"/>
                <w:szCs w:val="20"/>
              </w:rPr>
            </w:pPr>
            <w:r w:rsidRPr="00940262">
              <w:rPr>
                <w:b/>
                <w:color w:val="000000"/>
                <w:sz w:val="20"/>
                <w:szCs w:val="20"/>
              </w:rPr>
              <w:t>87 421</w:t>
            </w:r>
          </w:p>
        </w:tc>
        <w:tc>
          <w:tcPr>
            <w:tcW w:w="2126" w:type="dxa"/>
            <w:tcBorders>
              <w:top w:val="nil"/>
              <w:left w:val="nil"/>
              <w:bottom w:val="single" w:sz="12" w:space="0" w:color="0070C0"/>
              <w:right w:val="single" w:sz="12" w:space="0" w:color="0070C0"/>
            </w:tcBorders>
            <w:shd w:val="clear" w:color="auto" w:fill="auto"/>
            <w:vAlign w:val="center"/>
            <w:hideMark/>
          </w:tcPr>
          <w:p w:rsidR="008F715D" w:rsidRPr="00940262" w:rsidRDefault="008F715D" w:rsidP="002105A0">
            <w:pPr>
              <w:jc w:val="center"/>
              <w:rPr>
                <w:b/>
                <w:color w:val="000000"/>
                <w:sz w:val="20"/>
                <w:szCs w:val="20"/>
              </w:rPr>
            </w:pPr>
            <w:r w:rsidRPr="00940262">
              <w:rPr>
                <w:b/>
                <w:color w:val="000000"/>
                <w:sz w:val="20"/>
                <w:szCs w:val="20"/>
              </w:rPr>
              <w:t>85 395</w:t>
            </w:r>
          </w:p>
        </w:tc>
        <w:tc>
          <w:tcPr>
            <w:tcW w:w="1984" w:type="dxa"/>
            <w:tcBorders>
              <w:top w:val="nil"/>
              <w:left w:val="nil"/>
              <w:bottom w:val="single" w:sz="12" w:space="0" w:color="0070C0"/>
              <w:right w:val="single" w:sz="12" w:space="0" w:color="0070C0"/>
            </w:tcBorders>
            <w:shd w:val="clear" w:color="auto" w:fill="auto"/>
            <w:noWrap/>
            <w:vAlign w:val="center"/>
            <w:hideMark/>
          </w:tcPr>
          <w:p w:rsidR="008F715D" w:rsidRPr="00940262" w:rsidRDefault="008F715D" w:rsidP="002105A0">
            <w:pPr>
              <w:jc w:val="center"/>
              <w:rPr>
                <w:b/>
                <w:color w:val="000000"/>
                <w:sz w:val="20"/>
                <w:szCs w:val="20"/>
              </w:rPr>
            </w:pPr>
            <w:r w:rsidRPr="00940262">
              <w:rPr>
                <w:b/>
                <w:color w:val="000000"/>
                <w:sz w:val="20"/>
                <w:szCs w:val="20"/>
              </w:rPr>
              <w:t>-2,3%</w:t>
            </w:r>
          </w:p>
        </w:tc>
      </w:tr>
    </w:tbl>
    <w:p w:rsidR="008F715D" w:rsidRPr="005D514F" w:rsidRDefault="008F715D" w:rsidP="008F715D">
      <w:pPr>
        <w:autoSpaceDE w:val="0"/>
        <w:autoSpaceDN w:val="0"/>
        <w:adjustRightInd w:val="0"/>
        <w:rPr>
          <w:i/>
          <w:sz w:val="20"/>
          <w:szCs w:val="20"/>
        </w:rPr>
      </w:pPr>
      <w:r w:rsidRPr="005D514F">
        <w:rPr>
          <w:i/>
          <w:sz w:val="20"/>
          <w:szCs w:val="20"/>
        </w:rPr>
        <w:t>Sources: DGEPF, DGBFiP</w:t>
      </w:r>
    </w:p>
    <w:p w:rsidR="008F715D" w:rsidRPr="00A52E27" w:rsidRDefault="008F715D" w:rsidP="008F715D">
      <w:pPr>
        <w:jc w:val="both"/>
        <w:rPr>
          <w:b/>
          <w:i/>
          <w:u w:val="single"/>
        </w:rPr>
      </w:pPr>
    </w:p>
    <w:p w:rsidR="008F715D" w:rsidRPr="00A52E27" w:rsidRDefault="008F715D" w:rsidP="008F715D">
      <w:pPr>
        <w:pStyle w:val="Titre3"/>
        <w:ind w:firstLine="0"/>
        <w:rPr>
          <w:rFonts w:eastAsia="Batang"/>
          <w:b/>
          <w:bCs/>
          <w:sz w:val="20"/>
          <w:szCs w:val="20"/>
        </w:rPr>
      </w:pPr>
      <w:bookmarkStart w:id="278" w:name="_Toc446528843"/>
      <w:bookmarkStart w:id="279" w:name="_Toc446591567"/>
      <w:bookmarkStart w:id="280" w:name="_Toc462990867"/>
      <w:r w:rsidRPr="00A52E27">
        <w:rPr>
          <w:b/>
          <w:bCs/>
          <w:i/>
          <w:iCs/>
          <w:color w:val="0000FF"/>
          <w:sz w:val="24"/>
        </w:rPr>
        <w:t>III.2.2 Les salaires</w:t>
      </w:r>
      <w:bookmarkEnd w:id="278"/>
      <w:bookmarkEnd w:id="279"/>
      <w:bookmarkEnd w:id="280"/>
    </w:p>
    <w:p w:rsidR="008F715D" w:rsidRPr="00A52E27" w:rsidRDefault="008F715D" w:rsidP="008F715D">
      <w:pPr>
        <w:rPr>
          <w:rFonts w:eastAsia="Batang"/>
          <w:sz w:val="20"/>
          <w:szCs w:val="20"/>
        </w:rPr>
      </w:pPr>
    </w:p>
    <w:p w:rsidR="008F715D" w:rsidRPr="00A52E27" w:rsidRDefault="008F715D" w:rsidP="008F715D">
      <w:pPr>
        <w:ind w:firstLine="720"/>
      </w:pPr>
      <w:r w:rsidRPr="00A52E27">
        <w:rPr>
          <w:b/>
          <w:bCs/>
          <w:i/>
          <w:color w:val="0000FF"/>
        </w:rPr>
        <w:t>La masse salariale dans la fonction publique</w:t>
      </w:r>
    </w:p>
    <w:p w:rsidR="008F715D" w:rsidRDefault="008F715D" w:rsidP="008F715D"/>
    <w:p w:rsidR="008F715D" w:rsidRDefault="008F715D" w:rsidP="008F715D">
      <w:pPr>
        <w:spacing w:after="240" w:line="276" w:lineRule="auto"/>
        <w:jc w:val="both"/>
      </w:pPr>
      <w:r w:rsidRPr="002205E6">
        <w:t xml:space="preserve">La masse salariale de la fonction publique exécutée au premier semestre 2016 s’est </w:t>
      </w:r>
      <w:r>
        <w:t>légèrement contractée</w:t>
      </w:r>
      <w:r w:rsidRPr="002205E6">
        <w:t xml:space="preserve"> de </w:t>
      </w:r>
      <w:r>
        <w:t>0,8</w:t>
      </w:r>
      <w:r w:rsidRPr="002205E6">
        <w:t xml:space="preserve">% par rapport à celle de 2015, </w:t>
      </w:r>
      <w:r>
        <w:t>pour se situer à 332 milliards de Fcfa</w:t>
      </w:r>
      <w:r w:rsidRPr="002205E6">
        <w:t xml:space="preserve">. </w:t>
      </w:r>
      <w:r>
        <w:t xml:space="preserve">Toutefois, la solde permanente a cru de 25% au premier semestre 2016 et la masse salariale de la </w:t>
      </w:r>
      <w:r w:rsidRPr="002205E6">
        <w:t>« Main d’œuvre non permanente »</w:t>
      </w:r>
      <w:r>
        <w:t xml:space="preserve"> de +7,4%</w:t>
      </w:r>
      <w:r w:rsidRPr="002205E6">
        <w:t>, en liaison avec l’application du nouveau système de rémunération mis en place en  juillet 2015.</w:t>
      </w:r>
      <w:r>
        <w:t xml:space="preserve"> Le non-paiement de la Prime d’Incitation à la Performance explique essentiellement cette légèrement baisse.</w:t>
      </w:r>
    </w:p>
    <w:p w:rsidR="008F715D" w:rsidRDefault="008F715D" w:rsidP="008F715D">
      <w:pPr>
        <w:pStyle w:val="Paragraphedeliste"/>
        <w:spacing w:after="0"/>
        <w:ind w:left="0"/>
        <w:jc w:val="both"/>
        <w:rPr>
          <w:rFonts w:ascii="Times New Roman" w:hAnsi="Times New Roman"/>
          <w:b/>
          <w:i/>
          <w:sz w:val="24"/>
          <w:szCs w:val="24"/>
        </w:rPr>
      </w:pPr>
      <w:r w:rsidRPr="008752C4">
        <w:rPr>
          <w:rFonts w:ascii="Times New Roman" w:hAnsi="Times New Roman"/>
          <w:b/>
          <w:i/>
          <w:sz w:val="24"/>
          <w:szCs w:val="24"/>
        </w:rPr>
        <w:t>Evolution de la masse salariale</w:t>
      </w:r>
      <w:r>
        <w:rPr>
          <w:rFonts w:ascii="Times New Roman" w:hAnsi="Times New Roman"/>
          <w:b/>
          <w:i/>
          <w:sz w:val="24"/>
          <w:szCs w:val="24"/>
        </w:rPr>
        <w:t xml:space="preserve"> au premier semestre 2016 </w:t>
      </w:r>
    </w:p>
    <w:tbl>
      <w:tblPr>
        <w:tblW w:w="8581" w:type="dxa"/>
        <w:tblInd w:w="-15" w:type="dxa"/>
        <w:tblCellMar>
          <w:left w:w="70" w:type="dxa"/>
          <w:right w:w="70" w:type="dxa"/>
        </w:tblCellMar>
        <w:tblLook w:val="04A0"/>
      </w:tblPr>
      <w:tblGrid>
        <w:gridCol w:w="2918"/>
        <w:gridCol w:w="2400"/>
        <w:gridCol w:w="1523"/>
        <w:gridCol w:w="1740"/>
      </w:tblGrid>
      <w:tr w:rsidR="008F715D" w:rsidRPr="00940262" w:rsidTr="002105A0">
        <w:trPr>
          <w:trHeight w:val="330"/>
        </w:trPr>
        <w:tc>
          <w:tcPr>
            <w:tcW w:w="2918" w:type="dxa"/>
            <w:vMerge w:val="restart"/>
            <w:tcBorders>
              <w:top w:val="single" w:sz="12" w:space="0" w:color="0070C0"/>
              <w:left w:val="single" w:sz="12" w:space="0" w:color="0070C0"/>
              <w:bottom w:val="single" w:sz="12" w:space="0" w:color="0070C0"/>
              <w:right w:val="single" w:sz="12" w:space="0" w:color="0070C0"/>
            </w:tcBorders>
            <w:shd w:val="clear" w:color="auto" w:fill="auto"/>
            <w:noWrap/>
            <w:vAlign w:val="center"/>
            <w:hideMark/>
          </w:tcPr>
          <w:p w:rsidR="008F715D" w:rsidRPr="00940262" w:rsidRDefault="008F715D" w:rsidP="002105A0">
            <w:pPr>
              <w:rPr>
                <w:b/>
                <w:bCs/>
                <w:color w:val="000000"/>
                <w:sz w:val="20"/>
                <w:szCs w:val="20"/>
              </w:rPr>
            </w:pPr>
            <w:r w:rsidRPr="00940262">
              <w:rPr>
                <w:b/>
                <w:bCs/>
                <w:color w:val="000000"/>
                <w:sz w:val="20"/>
                <w:szCs w:val="20"/>
                <w:lang w:eastAsia="en-US"/>
              </w:rPr>
              <w:t>En milliards de FCFA</w:t>
            </w:r>
          </w:p>
        </w:tc>
        <w:tc>
          <w:tcPr>
            <w:tcW w:w="3923" w:type="dxa"/>
            <w:gridSpan w:val="2"/>
            <w:tcBorders>
              <w:top w:val="single" w:sz="12" w:space="0" w:color="0070C0"/>
              <w:left w:val="nil"/>
              <w:bottom w:val="single" w:sz="12" w:space="0" w:color="0070C0"/>
              <w:right w:val="single" w:sz="12" w:space="0" w:color="0070C0"/>
            </w:tcBorders>
            <w:shd w:val="clear" w:color="auto" w:fill="auto"/>
            <w:vAlign w:val="center"/>
            <w:hideMark/>
          </w:tcPr>
          <w:p w:rsidR="008F715D" w:rsidRPr="00940262" w:rsidRDefault="008F715D" w:rsidP="002105A0">
            <w:pPr>
              <w:jc w:val="center"/>
              <w:rPr>
                <w:b/>
                <w:bCs/>
                <w:color w:val="000000"/>
                <w:sz w:val="20"/>
                <w:szCs w:val="20"/>
              </w:rPr>
            </w:pPr>
            <w:r w:rsidRPr="00940262">
              <w:rPr>
                <w:b/>
                <w:bCs/>
                <w:color w:val="000000"/>
                <w:sz w:val="20"/>
                <w:szCs w:val="20"/>
              </w:rPr>
              <w:t>Premier semestre</w:t>
            </w:r>
          </w:p>
        </w:tc>
        <w:tc>
          <w:tcPr>
            <w:tcW w:w="1740" w:type="dxa"/>
            <w:vMerge w:val="restart"/>
            <w:tcBorders>
              <w:top w:val="single" w:sz="12" w:space="0" w:color="0070C0"/>
              <w:left w:val="single" w:sz="12" w:space="0" w:color="0070C0"/>
              <w:bottom w:val="single" w:sz="12" w:space="0" w:color="0070C0"/>
              <w:right w:val="single" w:sz="12" w:space="0" w:color="0070C0"/>
            </w:tcBorders>
            <w:shd w:val="clear" w:color="auto" w:fill="auto"/>
            <w:vAlign w:val="center"/>
            <w:hideMark/>
          </w:tcPr>
          <w:p w:rsidR="008F715D" w:rsidRPr="00940262" w:rsidRDefault="008F715D" w:rsidP="002105A0">
            <w:pPr>
              <w:jc w:val="center"/>
              <w:rPr>
                <w:b/>
                <w:bCs/>
                <w:color w:val="000000"/>
                <w:sz w:val="20"/>
                <w:szCs w:val="20"/>
              </w:rPr>
            </w:pPr>
            <w:r w:rsidRPr="00940262">
              <w:rPr>
                <w:b/>
                <w:bCs/>
                <w:color w:val="000000"/>
                <w:sz w:val="20"/>
                <w:szCs w:val="20"/>
              </w:rPr>
              <w:t>Var 16/15</w:t>
            </w:r>
          </w:p>
        </w:tc>
      </w:tr>
      <w:tr w:rsidR="008F715D" w:rsidRPr="00940262" w:rsidTr="002105A0">
        <w:trPr>
          <w:trHeight w:val="330"/>
        </w:trPr>
        <w:tc>
          <w:tcPr>
            <w:tcW w:w="2918"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940262" w:rsidRDefault="008F715D" w:rsidP="002105A0">
            <w:pPr>
              <w:rPr>
                <w:b/>
                <w:bCs/>
                <w:color w:val="000000"/>
                <w:sz w:val="20"/>
                <w:szCs w:val="20"/>
              </w:rPr>
            </w:pPr>
          </w:p>
        </w:tc>
        <w:tc>
          <w:tcPr>
            <w:tcW w:w="2400" w:type="dxa"/>
            <w:tcBorders>
              <w:top w:val="nil"/>
              <w:left w:val="nil"/>
              <w:bottom w:val="single" w:sz="12" w:space="0" w:color="0070C0"/>
              <w:right w:val="single" w:sz="12" w:space="0" w:color="0070C0"/>
            </w:tcBorders>
            <w:shd w:val="clear" w:color="auto" w:fill="auto"/>
            <w:vAlign w:val="center"/>
            <w:hideMark/>
          </w:tcPr>
          <w:p w:rsidR="008F715D" w:rsidRPr="00940262" w:rsidRDefault="008F715D" w:rsidP="002105A0">
            <w:pPr>
              <w:jc w:val="center"/>
              <w:rPr>
                <w:b/>
                <w:bCs/>
                <w:color w:val="000000"/>
                <w:sz w:val="20"/>
                <w:szCs w:val="20"/>
              </w:rPr>
            </w:pPr>
            <w:r w:rsidRPr="00940262">
              <w:rPr>
                <w:b/>
                <w:bCs/>
                <w:color w:val="000000"/>
                <w:sz w:val="20"/>
                <w:szCs w:val="20"/>
              </w:rPr>
              <w:t>2015</w:t>
            </w:r>
          </w:p>
        </w:tc>
        <w:tc>
          <w:tcPr>
            <w:tcW w:w="1523" w:type="dxa"/>
            <w:tcBorders>
              <w:top w:val="nil"/>
              <w:left w:val="nil"/>
              <w:bottom w:val="single" w:sz="12" w:space="0" w:color="0070C0"/>
              <w:right w:val="single" w:sz="12" w:space="0" w:color="0070C0"/>
            </w:tcBorders>
            <w:shd w:val="clear" w:color="auto" w:fill="auto"/>
            <w:vAlign w:val="center"/>
            <w:hideMark/>
          </w:tcPr>
          <w:p w:rsidR="008F715D" w:rsidRPr="00940262" w:rsidRDefault="008F715D" w:rsidP="002105A0">
            <w:pPr>
              <w:jc w:val="center"/>
              <w:rPr>
                <w:b/>
                <w:bCs/>
                <w:color w:val="000000"/>
                <w:sz w:val="20"/>
                <w:szCs w:val="20"/>
              </w:rPr>
            </w:pPr>
            <w:r w:rsidRPr="00940262">
              <w:rPr>
                <w:b/>
                <w:bCs/>
                <w:color w:val="000000"/>
                <w:sz w:val="20"/>
                <w:szCs w:val="20"/>
              </w:rPr>
              <w:t>2016</w:t>
            </w:r>
          </w:p>
        </w:tc>
        <w:tc>
          <w:tcPr>
            <w:tcW w:w="1740"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940262" w:rsidRDefault="008F715D" w:rsidP="002105A0">
            <w:pPr>
              <w:rPr>
                <w:b/>
                <w:bCs/>
                <w:color w:val="000000"/>
                <w:sz w:val="20"/>
                <w:szCs w:val="20"/>
              </w:rPr>
            </w:pPr>
          </w:p>
        </w:tc>
      </w:tr>
      <w:tr w:rsidR="008F715D" w:rsidRPr="00940262" w:rsidTr="002105A0">
        <w:trPr>
          <w:trHeight w:val="330"/>
        </w:trPr>
        <w:tc>
          <w:tcPr>
            <w:tcW w:w="2918"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40262" w:rsidRDefault="008F715D" w:rsidP="002105A0">
            <w:pPr>
              <w:rPr>
                <w:b/>
                <w:bCs/>
                <w:color w:val="000000"/>
                <w:sz w:val="20"/>
                <w:szCs w:val="20"/>
              </w:rPr>
            </w:pPr>
            <w:r w:rsidRPr="00940262">
              <w:rPr>
                <w:b/>
                <w:bCs/>
                <w:color w:val="000000"/>
                <w:sz w:val="20"/>
                <w:szCs w:val="20"/>
              </w:rPr>
              <w:t>Traitements et salaires  (T et S)</w:t>
            </w:r>
          </w:p>
        </w:tc>
        <w:tc>
          <w:tcPr>
            <w:tcW w:w="2400" w:type="dxa"/>
            <w:tcBorders>
              <w:top w:val="nil"/>
              <w:left w:val="nil"/>
              <w:bottom w:val="single" w:sz="12" w:space="0" w:color="0070C0"/>
              <w:right w:val="single" w:sz="12" w:space="0" w:color="0070C0"/>
            </w:tcBorders>
            <w:shd w:val="clear" w:color="auto" w:fill="auto"/>
            <w:noWrap/>
            <w:vAlign w:val="center"/>
            <w:hideMark/>
          </w:tcPr>
          <w:p w:rsidR="008F715D" w:rsidRPr="00940262" w:rsidRDefault="008F715D" w:rsidP="002105A0">
            <w:pPr>
              <w:jc w:val="center"/>
              <w:rPr>
                <w:b/>
                <w:bCs/>
                <w:color w:val="000000"/>
                <w:sz w:val="20"/>
                <w:szCs w:val="20"/>
              </w:rPr>
            </w:pPr>
            <w:r w:rsidRPr="00940262">
              <w:rPr>
                <w:b/>
                <w:bCs/>
                <w:color w:val="000000"/>
                <w:sz w:val="20"/>
                <w:szCs w:val="20"/>
              </w:rPr>
              <w:t>334,6</w:t>
            </w:r>
          </w:p>
        </w:tc>
        <w:tc>
          <w:tcPr>
            <w:tcW w:w="1523" w:type="dxa"/>
            <w:tcBorders>
              <w:top w:val="nil"/>
              <w:left w:val="nil"/>
              <w:bottom w:val="single" w:sz="12" w:space="0" w:color="0070C0"/>
              <w:right w:val="single" w:sz="12" w:space="0" w:color="0070C0"/>
            </w:tcBorders>
            <w:shd w:val="clear" w:color="auto" w:fill="auto"/>
            <w:noWrap/>
            <w:vAlign w:val="center"/>
            <w:hideMark/>
          </w:tcPr>
          <w:p w:rsidR="008F715D" w:rsidRPr="00940262" w:rsidRDefault="008F715D" w:rsidP="002105A0">
            <w:pPr>
              <w:jc w:val="center"/>
              <w:rPr>
                <w:b/>
                <w:bCs/>
                <w:color w:val="000000"/>
                <w:sz w:val="20"/>
                <w:szCs w:val="20"/>
              </w:rPr>
            </w:pPr>
            <w:r w:rsidRPr="00940262">
              <w:rPr>
                <w:b/>
                <w:bCs/>
                <w:color w:val="000000"/>
                <w:sz w:val="20"/>
                <w:szCs w:val="20"/>
              </w:rPr>
              <w:t>332,0</w:t>
            </w:r>
          </w:p>
        </w:tc>
        <w:tc>
          <w:tcPr>
            <w:tcW w:w="1740" w:type="dxa"/>
            <w:tcBorders>
              <w:top w:val="nil"/>
              <w:left w:val="nil"/>
              <w:bottom w:val="single" w:sz="12" w:space="0" w:color="0070C0"/>
              <w:right w:val="single" w:sz="12" w:space="0" w:color="0070C0"/>
            </w:tcBorders>
            <w:shd w:val="clear" w:color="auto" w:fill="auto"/>
            <w:noWrap/>
            <w:vAlign w:val="center"/>
            <w:hideMark/>
          </w:tcPr>
          <w:p w:rsidR="008F715D" w:rsidRPr="00940262" w:rsidRDefault="008F715D" w:rsidP="002105A0">
            <w:pPr>
              <w:jc w:val="center"/>
              <w:rPr>
                <w:b/>
                <w:bCs/>
                <w:color w:val="000000"/>
                <w:sz w:val="20"/>
                <w:szCs w:val="20"/>
              </w:rPr>
            </w:pPr>
            <w:r w:rsidRPr="00940262">
              <w:rPr>
                <w:b/>
                <w:bCs/>
                <w:color w:val="000000"/>
                <w:sz w:val="20"/>
                <w:szCs w:val="20"/>
              </w:rPr>
              <w:t>-0,8%</w:t>
            </w:r>
          </w:p>
        </w:tc>
      </w:tr>
      <w:tr w:rsidR="008F715D" w:rsidRPr="00940262" w:rsidTr="002105A0">
        <w:trPr>
          <w:trHeight w:val="330"/>
        </w:trPr>
        <w:tc>
          <w:tcPr>
            <w:tcW w:w="2918"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40262" w:rsidRDefault="008F715D" w:rsidP="002105A0">
            <w:pPr>
              <w:rPr>
                <w:color w:val="000000"/>
                <w:sz w:val="20"/>
                <w:szCs w:val="20"/>
              </w:rPr>
            </w:pPr>
            <w:r w:rsidRPr="00940262">
              <w:rPr>
                <w:color w:val="000000"/>
                <w:sz w:val="20"/>
                <w:szCs w:val="20"/>
              </w:rPr>
              <w:t xml:space="preserve">          Solde permanente</w:t>
            </w:r>
          </w:p>
        </w:tc>
        <w:tc>
          <w:tcPr>
            <w:tcW w:w="2400" w:type="dxa"/>
            <w:tcBorders>
              <w:top w:val="nil"/>
              <w:left w:val="nil"/>
              <w:bottom w:val="single" w:sz="12" w:space="0" w:color="0070C0"/>
              <w:right w:val="single" w:sz="12" w:space="0" w:color="0070C0"/>
            </w:tcBorders>
            <w:shd w:val="clear" w:color="auto" w:fill="auto"/>
            <w:noWrap/>
            <w:vAlign w:val="center"/>
            <w:hideMark/>
          </w:tcPr>
          <w:p w:rsidR="008F715D" w:rsidRPr="00940262" w:rsidRDefault="008F715D" w:rsidP="002105A0">
            <w:pPr>
              <w:jc w:val="center"/>
              <w:rPr>
                <w:color w:val="000000"/>
                <w:sz w:val="20"/>
                <w:szCs w:val="20"/>
              </w:rPr>
            </w:pPr>
            <w:r w:rsidRPr="00940262">
              <w:rPr>
                <w:color w:val="000000"/>
                <w:sz w:val="20"/>
                <w:szCs w:val="20"/>
              </w:rPr>
              <w:t>251,8</w:t>
            </w:r>
          </w:p>
        </w:tc>
        <w:tc>
          <w:tcPr>
            <w:tcW w:w="1523" w:type="dxa"/>
            <w:tcBorders>
              <w:top w:val="nil"/>
              <w:left w:val="nil"/>
              <w:bottom w:val="single" w:sz="12" w:space="0" w:color="0070C0"/>
              <w:right w:val="single" w:sz="12" w:space="0" w:color="0070C0"/>
            </w:tcBorders>
            <w:shd w:val="clear" w:color="auto" w:fill="auto"/>
            <w:noWrap/>
            <w:vAlign w:val="center"/>
            <w:hideMark/>
          </w:tcPr>
          <w:p w:rsidR="008F715D" w:rsidRPr="00940262" w:rsidRDefault="008F715D" w:rsidP="002105A0">
            <w:pPr>
              <w:jc w:val="center"/>
              <w:rPr>
                <w:color w:val="000000"/>
                <w:sz w:val="20"/>
                <w:szCs w:val="20"/>
              </w:rPr>
            </w:pPr>
            <w:r w:rsidRPr="00940262">
              <w:rPr>
                <w:color w:val="000000"/>
                <w:sz w:val="20"/>
                <w:szCs w:val="20"/>
              </w:rPr>
              <w:t>314,7</w:t>
            </w:r>
          </w:p>
        </w:tc>
        <w:tc>
          <w:tcPr>
            <w:tcW w:w="1740" w:type="dxa"/>
            <w:tcBorders>
              <w:top w:val="nil"/>
              <w:left w:val="nil"/>
              <w:bottom w:val="single" w:sz="12" w:space="0" w:color="0070C0"/>
              <w:right w:val="single" w:sz="12" w:space="0" w:color="0070C0"/>
            </w:tcBorders>
            <w:shd w:val="clear" w:color="auto" w:fill="auto"/>
            <w:noWrap/>
            <w:vAlign w:val="center"/>
            <w:hideMark/>
          </w:tcPr>
          <w:p w:rsidR="008F715D" w:rsidRPr="00940262" w:rsidRDefault="008F715D" w:rsidP="002105A0">
            <w:pPr>
              <w:jc w:val="center"/>
              <w:rPr>
                <w:color w:val="000000"/>
                <w:sz w:val="20"/>
                <w:szCs w:val="20"/>
              </w:rPr>
            </w:pPr>
            <w:r w:rsidRPr="00940262">
              <w:rPr>
                <w:color w:val="000000"/>
                <w:sz w:val="20"/>
                <w:szCs w:val="20"/>
              </w:rPr>
              <w:t>25,0%</w:t>
            </w:r>
          </w:p>
        </w:tc>
      </w:tr>
      <w:tr w:rsidR="008F715D" w:rsidRPr="00940262" w:rsidTr="002105A0">
        <w:trPr>
          <w:trHeight w:val="330"/>
        </w:trPr>
        <w:tc>
          <w:tcPr>
            <w:tcW w:w="2918"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40262" w:rsidRDefault="008F715D" w:rsidP="002105A0">
            <w:pPr>
              <w:rPr>
                <w:color w:val="000000"/>
                <w:sz w:val="20"/>
                <w:szCs w:val="20"/>
              </w:rPr>
            </w:pPr>
            <w:r w:rsidRPr="00940262">
              <w:rPr>
                <w:bCs/>
                <w:color w:val="000000"/>
                <w:sz w:val="20"/>
                <w:szCs w:val="20"/>
              </w:rPr>
              <w:t xml:space="preserve">          MONP</w:t>
            </w:r>
          </w:p>
        </w:tc>
        <w:tc>
          <w:tcPr>
            <w:tcW w:w="2400" w:type="dxa"/>
            <w:tcBorders>
              <w:top w:val="nil"/>
              <w:left w:val="nil"/>
              <w:bottom w:val="single" w:sz="12" w:space="0" w:color="0070C0"/>
              <w:right w:val="single" w:sz="12" w:space="0" w:color="0070C0"/>
            </w:tcBorders>
            <w:shd w:val="clear" w:color="auto" w:fill="auto"/>
            <w:noWrap/>
            <w:vAlign w:val="center"/>
            <w:hideMark/>
          </w:tcPr>
          <w:p w:rsidR="008F715D" w:rsidRPr="00940262" w:rsidRDefault="008F715D" w:rsidP="002105A0">
            <w:pPr>
              <w:jc w:val="center"/>
              <w:rPr>
                <w:color w:val="000000"/>
                <w:sz w:val="20"/>
                <w:szCs w:val="20"/>
              </w:rPr>
            </w:pPr>
            <w:r w:rsidRPr="00940262">
              <w:rPr>
                <w:color w:val="000000"/>
                <w:sz w:val="20"/>
                <w:szCs w:val="20"/>
              </w:rPr>
              <w:t>16,1</w:t>
            </w:r>
          </w:p>
        </w:tc>
        <w:tc>
          <w:tcPr>
            <w:tcW w:w="1523" w:type="dxa"/>
            <w:tcBorders>
              <w:top w:val="nil"/>
              <w:left w:val="nil"/>
              <w:bottom w:val="single" w:sz="12" w:space="0" w:color="0070C0"/>
              <w:right w:val="single" w:sz="12" w:space="0" w:color="0070C0"/>
            </w:tcBorders>
            <w:shd w:val="clear" w:color="auto" w:fill="auto"/>
            <w:noWrap/>
            <w:vAlign w:val="center"/>
            <w:hideMark/>
          </w:tcPr>
          <w:p w:rsidR="008F715D" w:rsidRPr="00940262" w:rsidRDefault="008F715D" w:rsidP="002105A0">
            <w:pPr>
              <w:jc w:val="center"/>
              <w:rPr>
                <w:color w:val="000000"/>
                <w:sz w:val="20"/>
                <w:szCs w:val="20"/>
              </w:rPr>
            </w:pPr>
            <w:r w:rsidRPr="00940262">
              <w:rPr>
                <w:color w:val="000000"/>
                <w:sz w:val="20"/>
                <w:szCs w:val="20"/>
              </w:rPr>
              <w:t>17,3</w:t>
            </w:r>
          </w:p>
        </w:tc>
        <w:tc>
          <w:tcPr>
            <w:tcW w:w="1740" w:type="dxa"/>
            <w:tcBorders>
              <w:top w:val="nil"/>
              <w:left w:val="nil"/>
              <w:bottom w:val="single" w:sz="12" w:space="0" w:color="0070C0"/>
              <w:right w:val="single" w:sz="12" w:space="0" w:color="0070C0"/>
            </w:tcBorders>
            <w:shd w:val="clear" w:color="auto" w:fill="auto"/>
            <w:noWrap/>
            <w:vAlign w:val="center"/>
            <w:hideMark/>
          </w:tcPr>
          <w:p w:rsidR="008F715D" w:rsidRPr="00940262" w:rsidRDefault="008F715D" w:rsidP="002105A0">
            <w:pPr>
              <w:jc w:val="center"/>
              <w:rPr>
                <w:color w:val="000000"/>
                <w:sz w:val="20"/>
                <w:szCs w:val="20"/>
              </w:rPr>
            </w:pPr>
            <w:r w:rsidRPr="00940262">
              <w:rPr>
                <w:color w:val="000000"/>
                <w:sz w:val="20"/>
                <w:szCs w:val="20"/>
              </w:rPr>
              <w:t>7,4%</w:t>
            </w:r>
          </w:p>
        </w:tc>
      </w:tr>
      <w:tr w:rsidR="008F715D" w:rsidRPr="00940262" w:rsidTr="002105A0">
        <w:trPr>
          <w:trHeight w:val="330"/>
        </w:trPr>
        <w:tc>
          <w:tcPr>
            <w:tcW w:w="2918"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40262" w:rsidRDefault="008F715D" w:rsidP="002105A0">
            <w:pPr>
              <w:rPr>
                <w:color w:val="000000"/>
                <w:sz w:val="20"/>
                <w:szCs w:val="20"/>
              </w:rPr>
            </w:pPr>
            <w:r w:rsidRPr="00940262">
              <w:rPr>
                <w:color w:val="000000"/>
                <w:sz w:val="20"/>
                <w:szCs w:val="20"/>
              </w:rPr>
              <w:t xml:space="preserve">       </w:t>
            </w:r>
            <w:r>
              <w:rPr>
                <w:color w:val="000000"/>
                <w:sz w:val="20"/>
                <w:szCs w:val="20"/>
              </w:rPr>
              <w:t xml:space="preserve"> </w:t>
            </w:r>
            <w:r w:rsidRPr="00940262">
              <w:rPr>
                <w:color w:val="000000"/>
                <w:sz w:val="20"/>
                <w:szCs w:val="20"/>
              </w:rPr>
              <w:t xml:space="preserve"> Autres</w:t>
            </w:r>
          </w:p>
        </w:tc>
        <w:tc>
          <w:tcPr>
            <w:tcW w:w="2400" w:type="dxa"/>
            <w:tcBorders>
              <w:top w:val="nil"/>
              <w:left w:val="nil"/>
              <w:bottom w:val="single" w:sz="12" w:space="0" w:color="0070C0"/>
              <w:right w:val="single" w:sz="12" w:space="0" w:color="0070C0"/>
            </w:tcBorders>
            <w:shd w:val="clear" w:color="auto" w:fill="auto"/>
            <w:noWrap/>
            <w:vAlign w:val="center"/>
            <w:hideMark/>
          </w:tcPr>
          <w:p w:rsidR="008F715D" w:rsidRPr="00940262" w:rsidRDefault="008F715D" w:rsidP="002105A0">
            <w:pPr>
              <w:jc w:val="center"/>
              <w:rPr>
                <w:color w:val="000000"/>
                <w:sz w:val="20"/>
                <w:szCs w:val="20"/>
              </w:rPr>
            </w:pPr>
            <w:r w:rsidRPr="00940262">
              <w:rPr>
                <w:color w:val="000000"/>
                <w:sz w:val="20"/>
                <w:szCs w:val="20"/>
              </w:rPr>
              <w:t>66,7</w:t>
            </w:r>
          </w:p>
        </w:tc>
        <w:tc>
          <w:tcPr>
            <w:tcW w:w="1523" w:type="dxa"/>
            <w:tcBorders>
              <w:top w:val="nil"/>
              <w:left w:val="nil"/>
              <w:bottom w:val="single" w:sz="12" w:space="0" w:color="0070C0"/>
              <w:right w:val="single" w:sz="12" w:space="0" w:color="0070C0"/>
            </w:tcBorders>
            <w:shd w:val="clear" w:color="auto" w:fill="auto"/>
            <w:noWrap/>
            <w:vAlign w:val="center"/>
            <w:hideMark/>
          </w:tcPr>
          <w:p w:rsidR="008F715D" w:rsidRPr="00940262" w:rsidRDefault="008F715D" w:rsidP="002105A0">
            <w:pPr>
              <w:jc w:val="center"/>
              <w:rPr>
                <w:color w:val="000000"/>
                <w:sz w:val="20"/>
                <w:szCs w:val="20"/>
              </w:rPr>
            </w:pPr>
            <w:r w:rsidRPr="00940262">
              <w:rPr>
                <w:color w:val="000000"/>
                <w:sz w:val="20"/>
                <w:szCs w:val="20"/>
              </w:rPr>
              <w:t>0,0</w:t>
            </w:r>
          </w:p>
        </w:tc>
        <w:tc>
          <w:tcPr>
            <w:tcW w:w="1740" w:type="dxa"/>
            <w:tcBorders>
              <w:top w:val="nil"/>
              <w:left w:val="nil"/>
              <w:bottom w:val="single" w:sz="12" w:space="0" w:color="0070C0"/>
              <w:right w:val="single" w:sz="12" w:space="0" w:color="0070C0"/>
            </w:tcBorders>
            <w:shd w:val="clear" w:color="auto" w:fill="auto"/>
            <w:noWrap/>
            <w:vAlign w:val="center"/>
            <w:hideMark/>
          </w:tcPr>
          <w:p w:rsidR="008F715D" w:rsidRPr="00940262" w:rsidRDefault="008F715D" w:rsidP="002105A0">
            <w:pPr>
              <w:jc w:val="center"/>
              <w:rPr>
                <w:color w:val="000000"/>
                <w:sz w:val="20"/>
                <w:szCs w:val="20"/>
              </w:rPr>
            </w:pPr>
            <w:r w:rsidRPr="00940262">
              <w:rPr>
                <w:color w:val="000000"/>
                <w:sz w:val="20"/>
                <w:szCs w:val="20"/>
              </w:rPr>
              <w:t>-100,0%</w:t>
            </w:r>
          </w:p>
        </w:tc>
      </w:tr>
    </w:tbl>
    <w:p w:rsidR="008F715D" w:rsidRPr="005D514F" w:rsidRDefault="008F715D" w:rsidP="008F715D">
      <w:pPr>
        <w:autoSpaceDE w:val="0"/>
        <w:autoSpaceDN w:val="0"/>
        <w:adjustRightInd w:val="0"/>
        <w:rPr>
          <w:i/>
          <w:sz w:val="20"/>
          <w:szCs w:val="20"/>
        </w:rPr>
      </w:pPr>
      <w:r w:rsidRPr="005D514F">
        <w:rPr>
          <w:i/>
          <w:sz w:val="20"/>
          <w:szCs w:val="20"/>
        </w:rPr>
        <w:t>Sources: DGCPT</w:t>
      </w:r>
    </w:p>
    <w:p w:rsidR="008F715D" w:rsidRPr="007E5392" w:rsidRDefault="008F715D" w:rsidP="008F715D">
      <w:pPr>
        <w:autoSpaceDE w:val="0"/>
        <w:autoSpaceDN w:val="0"/>
        <w:adjustRightInd w:val="0"/>
        <w:rPr>
          <w:i/>
          <w:sz w:val="18"/>
          <w:szCs w:val="18"/>
        </w:rPr>
      </w:pPr>
    </w:p>
    <w:p w:rsidR="008F715D" w:rsidRPr="00940262" w:rsidRDefault="008F715D" w:rsidP="008F715D">
      <w:pPr>
        <w:spacing w:after="240"/>
        <w:ind w:firstLine="720"/>
        <w:rPr>
          <w:b/>
          <w:bCs/>
          <w:i/>
          <w:color w:val="0000FF"/>
        </w:rPr>
      </w:pPr>
      <w:r w:rsidRPr="00940262">
        <w:rPr>
          <w:b/>
          <w:bCs/>
          <w:i/>
          <w:color w:val="0000FF"/>
        </w:rPr>
        <w:t>Répartition de la masse salariale par département</w:t>
      </w:r>
    </w:p>
    <w:p w:rsidR="008F715D" w:rsidRDefault="008F715D" w:rsidP="008F715D">
      <w:pPr>
        <w:spacing w:after="240" w:line="276" w:lineRule="auto"/>
        <w:jc w:val="both"/>
        <w:rPr>
          <w:b/>
          <w:i/>
        </w:rPr>
      </w:pPr>
      <w:r>
        <w:t>Au premier semestre 2016, l’ensemble des</w:t>
      </w:r>
      <w:r w:rsidRPr="006D7251">
        <w:t xml:space="preserve"> administrations</w:t>
      </w:r>
      <w:r>
        <w:t xml:space="preserve"> a enregistré un accroissement de la</w:t>
      </w:r>
      <w:r w:rsidRPr="006D7251">
        <w:t xml:space="preserve"> masse salariale.</w:t>
      </w:r>
      <w:r>
        <w:t xml:space="preserve"> Celle-ci se chiffre à 314,7 milliards de FCFA contre 251,8 milliards de FCFA en 2015. Les plus fortes augmentations sont observées dans les </w:t>
      </w:r>
      <w:r w:rsidRPr="006D7251">
        <w:t>administra</w:t>
      </w:r>
      <w:r>
        <w:t xml:space="preserve">tions de l’éducation (+38,2%), des transports (23,5%), de l’économie (+22,9%), sociale (+16,4%), de développement (10,4%) et des administrations générales (+26,3%). </w:t>
      </w:r>
      <w:r>
        <w:rPr>
          <w:b/>
          <w:i/>
        </w:rPr>
        <w:br w:type="page"/>
      </w:r>
    </w:p>
    <w:p w:rsidR="008F715D" w:rsidRDefault="008F715D" w:rsidP="008F715D">
      <w:pPr>
        <w:tabs>
          <w:tab w:val="left" w:pos="6740"/>
        </w:tabs>
        <w:jc w:val="both"/>
        <w:rPr>
          <w:b/>
          <w:i/>
        </w:rPr>
      </w:pPr>
      <w:r>
        <w:rPr>
          <w:b/>
          <w:i/>
        </w:rPr>
        <w:lastRenderedPageBreak/>
        <w:t>E</w:t>
      </w:r>
      <w:r w:rsidRPr="008752C4">
        <w:rPr>
          <w:b/>
          <w:i/>
        </w:rPr>
        <w:t xml:space="preserve">volution de la solde permanente par département </w:t>
      </w:r>
    </w:p>
    <w:tbl>
      <w:tblPr>
        <w:tblW w:w="7720" w:type="dxa"/>
        <w:tblInd w:w="-15" w:type="dxa"/>
        <w:tblCellMar>
          <w:left w:w="70" w:type="dxa"/>
          <w:right w:w="70" w:type="dxa"/>
        </w:tblCellMar>
        <w:tblLook w:val="04A0"/>
      </w:tblPr>
      <w:tblGrid>
        <w:gridCol w:w="2920"/>
        <w:gridCol w:w="2400"/>
        <w:gridCol w:w="1200"/>
        <w:gridCol w:w="1200"/>
      </w:tblGrid>
      <w:tr w:rsidR="008F715D" w:rsidRPr="009C14D5" w:rsidTr="002105A0">
        <w:trPr>
          <w:trHeight w:val="330"/>
        </w:trPr>
        <w:tc>
          <w:tcPr>
            <w:tcW w:w="2920" w:type="dxa"/>
            <w:tcBorders>
              <w:top w:val="single" w:sz="12" w:space="0" w:color="0070C0"/>
              <w:left w:val="single" w:sz="12" w:space="0" w:color="0070C0"/>
              <w:bottom w:val="single" w:sz="12" w:space="0" w:color="0070C0"/>
              <w:right w:val="single" w:sz="12" w:space="0" w:color="0070C0"/>
            </w:tcBorders>
            <w:shd w:val="clear" w:color="000000" w:fill="FFFFFF"/>
            <w:noWrap/>
            <w:vAlign w:val="center"/>
            <w:hideMark/>
          </w:tcPr>
          <w:p w:rsidR="008F715D" w:rsidRPr="009C14D5" w:rsidRDefault="008F715D" w:rsidP="002105A0">
            <w:pPr>
              <w:jc w:val="center"/>
              <w:rPr>
                <w:b/>
                <w:bCs/>
                <w:color w:val="000000"/>
                <w:sz w:val="20"/>
                <w:szCs w:val="20"/>
              </w:rPr>
            </w:pPr>
            <w:r w:rsidRPr="009C14D5">
              <w:rPr>
                <w:b/>
                <w:bCs/>
                <w:color w:val="000000"/>
                <w:sz w:val="20"/>
                <w:szCs w:val="20"/>
              </w:rPr>
              <w:t>En milliards de FCFA</w:t>
            </w:r>
          </w:p>
        </w:tc>
        <w:tc>
          <w:tcPr>
            <w:tcW w:w="3600" w:type="dxa"/>
            <w:gridSpan w:val="2"/>
            <w:tcBorders>
              <w:top w:val="single" w:sz="12" w:space="0" w:color="0070C0"/>
              <w:left w:val="nil"/>
              <w:bottom w:val="single" w:sz="12" w:space="0" w:color="0070C0"/>
              <w:right w:val="single" w:sz="12" w:space="0" w:color="0070C0"/>
            </w:tcBorders>
            <w:shd w:val="clear" w:color="000000" w:fill="FFFFFF"/>
            <w:noWrap/>
            <w:vAlign w:val="center"/>
            <w:hideMark/>
          </w:tcPr>
          <w:p w:rsidR="008F715D" w:rsidRPr="009C14D5" w:rsidRDefault="008F715D" w:rsidP="002105A0">
            <w:pPr>
              <w:jc w:val="center"/>
              <w:rPr>
                <w:b/>
                <w:bCs/>
                <w:color w:val="000000"/>
                <w:sz w:val="20"/>
                <w:szCs w:val="20"/>
              </w:rPr>
            </w:pPr>
            <w:r w:rsidRPr="009C14D5">
              <w:rPr>
                <w:b/>
                <w:bCs/>
                <w:color w:val="000000"/>
                <w:sz w:val="20"/>
                <w:szCs w:val="20"/>
              </w:rPr>
              <w:t>Premier semestre</w:t>
            </w:r>
          </w:p>
        </w:tc>
        <w:tc>
          <w:tcPr>
            <w:tcW w:w="1200" w:type="dxa"/>
            <w:vMerge w:val="restart"/>
            <w:tcBorders>
              <w:top w:val="single" w:sz="12" w:space="0" w:color="0070C0"/>
              <w:left w:val="single" w:sz="12" w:space="0" w:color="0070C0"/>
              <w:bottom w:val="single" w:sz="12" w:space="0" w:color="0070C0"/>
              <w:right w:val="single" w:sz="12" w:space="0" w:color="0070C0"/>
            </w:tcBorders>
            <w:shd w:val="clear" w:color="000000" w:fill="FFFFFF"/>
            <w:vAlign w:val="center"/>
            <w:hideMark/>
          </w:tcPr>
          <w:p w:rsidR="008F715D" w:rsidRPr="009C14D5" w:rsidRDefault="008F715D" w:rsidP="002105A0">
            <w:pPr>
              <w:jc w:val="center"/>
              <w:rPr>
                <w:b/>
                <w:bCs/>
                <w:color w:val="000000"/>
                <w:sz w:val="20"/>
                <w:szCs w:val="20"/>
              </w:rPr>
            </w:pPr>
            <w:r w:rsidRPr="009C14D5">
              <w:rPr>
                <w:b/>
                <w:bCs/>
                <w:color w:val="000000"/>
                <w:sz w:val="20"/>
                <w:szCs w:val="20"/>
              </w:rPr>
              <w:t>Var 16/15</w:t>
            </w:r>
          </w:p>
        </w:tc>
      </w:tr>
      <w:tr w:rsidR="008F715D" w:rsidRPr="009C14D5" w:rsidTr="002105A0">
        <w:trPr>
          <w:trHeight w:val="330"/>
        </w:trPr>
        <w:tc>
          <w:tcPr>
            <w:tcW w:w="2920" w:type="dxa"/>
            <w:tcBorders>
              <w:top w:val="nil"/>
              <w:left w:val="single" w:sz="12" w:space="0" w:color="0070C0"/>
              <w:bottom w:val="single" w:sz="12" w:space="0" w:color="0070C0"/>
              <w:right w:val="single" w:sz="12" w:space="0" w:color="0070C0"/>
            </w:tcBorders>
            <w:shd w:val="clear" w:color="000000" w:fill="FFFFFF"/>
            <w:noWrap/>
            <w:vAlign w:val="center"/>
            <w:hideMark/>
          </w:tcPr>
          <w:p w:rsidR="008F715D" w:rsidRPr="009C14D5" w:rsidRDefault="008F715D" w:rsidP="002105A0">
            <w:pPr>
              <w:rPr>
                <w:b/>
                <w:bCs/>
                <w:color w:val="000000"/>
                <w:sz w:val="20"/>
                <w:szCs w:val="20"/>
              </w:rPr>
            </w:pPr>
            <w:r w:rsidRPr="009C14D5">
              <w:rPr>
                <w:b/>
                <w:bCs/>
                <w:color w:val="000000"/>
                <w:sz w:val="20"/>
                <w:szCs w:val="20"/>
              </w:rPr>
              <w:t xml:space="preserve">Département </w:t>
            </w:r>
          </w:p>
        </w:tc>
        <w:tc>
          <w:tcPr>
            <w:tcW w:w="2400" w:type="dxa"/>
            <w:tcBorders>
              <w:top w:val="nil"/>
              <w:left w:val="nil"/>
              <w:bottom w:val="single" w:sz="12" w:space="0" w:color="0070C0"/>
              <w:right w:val="single" w:sz="12" w:space="0" w:color="0070C0"/>
            </w:tcBorders>
            <w:shd w:val="clear" w:color="000000" w:fill="FFFFFF"/>
            <w:noWrap/>
            <w:vAlign w:val="center"/>
            <w:hideMark/>
          </w:tcPr>
          <w:p w:rsidR="008F715D" w:rsidRPr="009C14D5" w:rsidRDefault="008F715D" w:rsidP="002105A0">
            <w:pPr>
              <w:jc w:val="center"/>
              <w:rPr>
                <w:b/>
                <w:bCs/>
                <w:color w:val="000000"/>
                <w:sz w:val="20"/>
                <w:szCs w:val="20"/>
              </w:rPr>
            </w:pPr>
            <w:r w:rsidRPr="009C14D5">
              <w:rPr>
                <w:b/>
                <w:bCs/>
                <w:color w:val="000000"/>
                <w:sz w:val="20"/>
                <w:szCs w:val="20"/>
              </w:rPr>
              <w:t>2 015</w:t>
            </w:r>
          </w:p>
        </w:tc>
        <w:tc>
          <w:tcPr>
            <w:tcW w:w="1200" w:type="dxa"/>
            <w:tcBorders>
              <w:top w:val="nil"/>
              <w:left w:val="nil"/>
              <w:bottom w:val="single" w:sz="12" w:space="0" w:color="0070C0"/>
              <w:right w:val="single" w:sz="12" w:space="0" w:color="0070C0"/>
            </w:tcBorders>
            <w:shd w:val="clear" w:color="000000" w:fill="FFFFFF"/>
            <w:vAlign w:val="center"/>
            <w:hideMark/>
          </w:tcPr>
          <w:p w:rsidR="008F715D" w:rsidRPr="009C14D5" w:rsidRDefault="008F715D" w:rsidP="002105A0">
            <w:pPr>
              <w:jc w:val="center"/>
              <w:rPr>
                <w:b/>
                <w:bCs/>
                <w:color w:val="000000"/>
                <w:sz w:val="20"/>
                <w:szCs w:val="20"/>
              </w:rPr>
            </w:pPr>
            <w:r w:rsidRPr="009C14D5">
              <w:rPr>
                <w:b/>
                <w:bCs/>
                <w:color w:val="000000"/>
                <w:sz w:val="20"/>
                <w:szCs w:val="20"/>
              </w:rPr>
              <w:t>2 016</w:t>
            </w:r>
          </w:p>
        </w:tc>
        <w:tc>
          <w:tcPr>
            <w:tcW w:w="1200"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9C14D5" w:rsidRDefault="008F715D" w:rsidP="002105A0">
            <w:pPr>
              <w:rPr>
                <w:b/>
                <w:bCs/>
                <w:color w:val="000000"/>
                <w:sz w:val="20"/>
                <w:szCs w:val="20"/>
              </w:rPr>
            </w:pPr>
          </w:p>
        </w:tc>
      </w:tr>
      <w:tr w:rsidR="008F715D" w:rsidRPr="009C14D5" w:rsidTr="002105A0">
        <w:trPr>
          <w:trHeight w:val="330"/>
        </w:trPr>
        <w:tc>
          <w:tcPr>
            <w:tcW w:w="292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C14D5" w:rsidRDefault="008F715D" w:rsidP="002105A0">
            <w:pPr>
              <w:rPr>
                <w:color w:val="000000"/>
                <w:sz w:val="20"/>
                <w:szCs w:val="20"/>
              </w:rPr>
            </w:pPr>
            <w:r w:rsidRPr="009C14D5">
              <w:rPr>
                <w:color w:val="000000"/>
                <w:sz w:val="20"/>
                <w:szCs w:val="20"/>
              </w:rPr>
              <w:t>Pouvoirs  publics</w:t>
            </w:r>
          </w:p>
        </w:tc>
        <w:tc>
          <w:tcPr>
            <w:tcW w:w="24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73,8</w:t>
            </w:r>
          </w:p>
        </w:tc>
        <w:tc>
          <w:tcPr>
            <w:tcW w:w="12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86,6</w:t>
            </w:r>
          </w:p>
        </w:tc>
        <w:tc>
          <w:tcPr>
            <w:tcW w:w="1200" w:type="dxa"/>
            <w:tcBorders>
              <w:top w:val="nil"/>
              <w:left w:val="nil"/>
              <w:bottom w:val="single" w:sz="12" w:space="0" w:color="0070C0"/>
              <w:right w:val="single" w:sz="12" w:space="0" w:color="0070C0"/>
            </w:tcBorders>
            <w:shd w:val="clear" w:color="auto" w:fill="auto"/>
            <w:vAlign w:val="center"/>
            <w:hideMark/>
          </w:tcPr>
          <w:p w:rsidR="008F715D" w:rsidRPr="009C14D5" w:rsidRDefault="008F715D" w:rsidP="002105A0">
            <w:pPr>
              <w:jc w:val="center"/>
              <w:rPr>
                <w:color w:val="000000"/>
                <w:sz w:val="20"/>
                <w:szCs w:val="20"/>
              </w:rPr>
            </w:pPr>
            <w:r w:rsidRPr="009C14D5">
              <w:rPr>
                <w:color w:val="000000"/>
                <w:sz w:val="20"/>
                <w:szCs w:val="20"/>
              </w:rPr>
              <w:t>17,3%</w:t>
            </w:r>
          </w:p>
        </w:tc>
      </w:tr>
      <w:tr w:rsidR="008F715D" w:rsidRPr="009C14D5" w:rsidTr="002105A0">
        <w:trPr>
          <w:trHeight w:val="330"/>
        </w:trPr>
        <w:tc>
          <w:tcPr>
            <w:tcW w:w="292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C14D5" w:rsidRDefault="008F715D" w:rsidP="002105A0">
            <w:pPr>
              <w:rPr>
                <w:color w:val="000000"/>
                <w:sz w:val="20"/>
                <w:szCs w:val="20"/>
              </w:rPr>
            </w:pPr>
            <w:r w:rsidRPr="009C14D5">
              <w:rPr>
                <w:color w:val="000000"/>
                <w:sz w:val="20"/>
                <w:szCs w:val="20"/>
              </w:rPr>
              <w:t>Administration Générale</w:t>
            </w:r>
          </w:p>
        </w:tc>
        <w:tc>
          <w:tcPr>
            <w:tcW w:w="24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32,7</w:t>
            </w:r>
          </w:p>
        </w:tc>
        <w:tc>
          <w:tcPr>
            <w:tcW w:w="12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41,3</w:t>
            </w:r>
          </w:p>
        </w:tc>
        <w:tc>
          <w:tcPr>
            <w:tcW w:w="1200" w:type="dxa"/>
            <w:tcBorders>
              <w:top w:val="nil"/>
              <w:left w:val="nil"/>
              <w:bottom w:val="single" w:sz="12" w:space="0" w:color="0070C0"/>
              <w:right w:val="single" w:sz="12" w:space="0" w:color="0070C0"/>
            </w:tcBorders>
            <w:shd w:val="clear" w:color="auto" w:fill="auto"/>
            <w:vAlign w:val="center"/>
            <w:hideMark/>
          </w:tcPr>
          <w:p w:rsidR="008F715D" w:rsidRPr="009C14D5" w:rsidRDefault="008F715D" w:rsidP="002105A0">
            <w:pPr>
              <w:jc w:val="center"/>
              <w:rPr>
                <w:color w:val="000000"/>
                <w:sz w:val="20"/>
                <w:szCs w:val="20"/>
              </w:rPr>
            </w:pPr>
            <w:r w:rsidRPr="009C14D5">
              <w:rPr>
                <w:color w:val="000000"/>
                <w:sz w:val="20"/>
                <w:szCs w:val="20"/>
              </w:rPr>
              <w:t>26,3%</w:t>
            </w:r>
          </w:p>
        </w:tc>
      </w:tr>
      <w:tr w:rsidR="008F715D" w:rsidRPr="009C14D5" w:rsidTr="002105A0">
        <w:trPr>
          <w:trHeight w:val="330"/>
        </w:trPr>
        <w:tc>
          <w:tcPr>
            <w:tcW w:w="292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C14D5" w:rsidRDefault="008F715D" w:rsidP="002105A0">
            <w:pPr>
              <w:rPr>
                <w:color w:val="000000"/>
                <w:sz w:val="20"/>
                <w:szCs w:val="20"/>
              </w:rPr>
            </w:pPr>
            <w:r w:rsidRPr="009C14D5">
              <w:rPr>
                <w:color w:val="000000"/>
                <w:sz w:val="20"/>
                <w:szCs w:val="20"/>
              </w:rPr>
              <w:t>Administration Economique</w:t>
            </w:r>
          </w:p>
        </w:tc>
        <w:tc>
          <w:tcPr>
            <w:tcW w:w="24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21</w:t>
            </w:r>
          </w:p>
        </w:tc>
        <w:tc>
          <w:tcPr>
            <w:tcW w:w="12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25,8</w:t>
            </w:r>
          </w:p>
        </w:tc>
        <w:tc>
          <w:tcPr>
            <w:tcW w:w="1200" w:type="dxa"/>
            <w:tcBorders>
              <w:top w:val="nil"/>
              <w:left w:val="nil"/>
              <w:bottom w:val="single" w:sz="12" w:space="0" w:color="0070C0"/>
              <w:right w:val="single" w:sz="12" w:space="0" w:color="0070C0"/>
            </w:tcBorders>
            <w:shd w:val="clear" w:color="auto" w:fill="auto"/>
            <w:vAlign w:val="center"/>
            <w:hideMark/>
          </w:tcPr>
          <w:p w:rsidR="008F715D" w:rsidRPr="009C14D5" w:rsidRDefault="008F715D" w:rsidP="002105A0">
            <w:pPr>
              <w:jc w:val="center"/>
              <w:rPr>
                <w:color w:val="000000"/>
                <w:sz w:val="20"/>
                <w:szCs w:val="20"/>
              </w:rPr>
            </w:pPr>
            <w:r w:rsidRPr="009C14D5">
              <w:rPr>
                <w:color w:val="000000"/>
                <w:sz w:val="20"/>
                <w:szCs w:val="20"/>
              </w:rPr>
              <w:t>22,9%</w:t>
            </w:r>
          </w:p>
        </w:tc>
      </w:tr>
      <w:tr w:rsidR="008F715D" w:rsidRPr="009C14D5" w:rsidTr="002105A0">
        <w:trPr>
          <w:trHeight w:val="330"/>
        </w:trPr>
        <w:tc>
          <w:tcPr>
            <w:tcW w:w="292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C14D5" w:rsidRDefault="008F715D" w:rsidP="002105A0">
            <w:pPr>
              <w:rPr>
                <w:color w:val="000000"/>
                <w:sz w:val="20"/>
                <w:szCs w:val="20"/>
              </w:rPr>
            </w:pPr>
            <w:r w:rsidRPr="009C14D5">
              <w:rPr>
                <w:color w:val="000000"/>
                <w:sz w:val="20"/>
                <w:szCs w:val="20"/>
              </w:rPr>
              <w:t>Administration du Développement</w:t>
            </w:r>
          </w:p>
        </w:tc>
        <w:tc>
          <w:tcPr>
            <w:tcW w:w="24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13,4</w:t>
            </w:r>
          </w:p>
        </w:tc>
        <w:tc>
          <w:tcPr>
            <w:tcW w:w="12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14,8</w:t>
            </w:r>
          </w:p>
        </w:tc>
        <w:tc>
          <w:tcPr>
            <w:tcW w:w="1200" w:type="dxa"/>
            <w:tcBorders>
              <w:top w:val="nil"/>
              <w:left w:val="nil"/>
              <w:bottom w:val="single" w:sz="12" w:space="0" w:color="0070C0"/>
              <w:right w:val="single" w:sz="12" w:space="0" w:color="0070C0"/>
            </w:tcBorders>
            <w:shd w:val="clear" w:color="auto" w:fill="auto"/>
            <w:vAlign w:val="center"/>
            <w:hideMark/>
          </w:tcPr>
          <w:p w:rsidR="008F715D" w:rsidRPr="009C14D5" w:rsidRDefault="008F715D" w:rsidP="002105A0">
            <w:pPr>
              <w:jc w:val="center"/>
              <w:rPr>
                <w:color w:val="000000"/>
                <w:sz w:val="20"/>
                <w:szCs w:val="20"/>
              </w:rPr>
            </w:pPr>
            <w:r w:rsidRPr="009C14D5">
              <w:rPr>
                <w:color w:val="000000"/>
                <w:sz w:val="20"/>
                <w:szCs w:val="20"/>
              </w:rPr>
              <w:t>10,4%</w:t>
            </w:r>
          </w:p>
        </w:tc>
      </w:tr>
      <w:tr w:rsidR="008F715D" w:rsidRPr="009C14D5" w:rsidTr="002105A0">
        <w:trPr>
          <w:trHeight w:val="330"/>
        </w:trPr>
        <w:tc>
          <w:tcPr>
            <w:tcW w:w="292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C14D5" w:rsidRDefault="008F715D" w:rsidP="002105A0">
            <w:pPr>
              <w:rPr>
                <w:color w:val="000000"/>
                <w:sz w:val="20"/>
                <w:szCs w:val="20"/>
              </w:rPr>
            </w:pPr>
            <w:r w:rsidRPr="009C14D5">
              <w:rPr>
                <w:color w:val="000000"/>
                <w:sz w:val="20"/>
                <w:szCs w:val="20"/>
              </w:rPr>
              <w:t>Administration des transports</w:t>
            </w:r>
          </w:p>
        </w:tc>
        <w:tc>
          <w:tcPr>
            <w:tcW w:w="24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3,4</w:t>
            </w:r>
          </w:p>
        </w:tc>
        <w:tc>
          <w:tcPr>
            <w:tcW w:w="12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4,2</w:t>
            </w:r>
          </w:p>
        </w:tc>
        <w:tc>
          <w:tcPr>
            <w:tcW w:w="1200" w:type="dxa"/>
            <w:tcBorders>
              <w:top w:val="nil"/>
              <w:left w:val="nil"/>
              <w:bottom w:val="single" w:sz="12" w:space="0" w:color="0070C0"/>
              <w:right w:val="single" w:sz="12" w:space="0" w:color="0070C0"/>
            </w:tcBorders>
            <w:shd w:val="clear" w:color="auto" w:fill="auto"/>
            <w:vAlign w:val="center"/>
            <w:hideMark/>
          </w:tcPr>
          <w:p w:rsidR="008F715D" w:rsidRPr="009C14D5" w:rsidRDefault="008F715D" w:rsidP="002105A0">
            <w:pPr>
              <w:jc w:val="center"/>
              <w:rPr>
                <w:color w:val="000000"/>
                <w:sz w:val="20"/>
                <w:szCs w:val="20"/>
              </w:rPr>
            </w:pPr>
            <w:r w:rsidRPr="009C14D5">
              <w:rPr>
                <w:color w:val="000000"/>
                <w:sz w:val="20"/>
                <w:szCs w:val="20"/>
              </w:rPr>
              <w:t>23,5%</w:t>
            </w:r>
          </w:p>
        </w:tc>
      </w:tr>
      <w:tr w:rsidR="008F715D" w:rsidRPr="009C14D5" w:rsidTr="002105A0">
        <w:trPr>
          <w:trHeight w:val="330"/>
        </w:trPr>
        <w:tc>
          <w:tcPr>
            <w:tcW w:w="292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C14D5" w:rsidRDefault="008F715D" w:rsidP="002105A0">
            <w:pPr>
              <w:rPr>
                <w:color w:val="000000"/>
                <w:sz w:val="20"/>
                <w:szCs w:val="20"/>
              </w:rPr>
            </w:pPr>
            <w:r w:rsidRPr="009C14D5">
              <w:rPr>
                <w:color w:val="000000"/>
                <w:sz w:val="20"/>
                <w:szCs w:val="20"/>
              </w:rPr>
              <w:t>Administration de l'Education</w:t>
            </w:r>
          </w:p>
        </w:tc>
        <w:tc>
          <w:tcPr>
            <w:tcW w:w="24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71,9</w:t>
            </w:r>
          </w:p>
        </w:tc>
        <w:tc>
          <w:tcPr>
            <w:tcW w:w="12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99,4</w:t>
            </w:r>
          </w:p>
        </w:tc>
        <w:tc>
          <w:tcPr>
            <w:tcW w:w="1200" w:type="dxa"/>
            <w:tcBorders>
              <w:top w:val="nil"/>
              <w:left w:val="nil"/>
              <w:bottom w:val="single" w:sz="12" w:space="0" w:color="0070C0"/>
              <w:right w:val="single" w:sz="12" w:space="0" w:color="0070C0"/>
            </w:tcBorders>
            <w:shd w:val="clear" w:color="auto" w:fill="auto"/>
            <w:vAlign w:val="center"/>
            <w:hideMark/>
          </w:tcPr>
          <w:p w:rsidR="008F715D" w:rsidRPr="009C14D5" w:rsidRDefault="008F715D" w:rsidP="002105A0">
            <w:pPr>
              <w:jc w:val="center"/>
              <w:rPr>
                <w:color w:val="000000"/>
                <w:sz w:val="20"/>
                <w:szCs w:val="20"/>
              </w:rPr>
            </w:pPr>
            <w:r w:rsidRPr="009C14D5">
              <w:rPr>
                <w:color w:val="000000"/>
                <w:sz w:val="20"/>
                <w:szCs w:val="20"/>
              </w:rPr>
              <w:t>38,2%</w:t>
            </w:r>
          </w:p>
        </w:tc>
      </w:tr>
      <w:tr w:rsidR="008F715D" w:rsidRPr="009C14D5" w:rsidTr="002105A0">
        <w:trPr>
          <w:trHeight w:val="330"/>
        </w:trPr>
        <w:tc>
          <w:tcPr>
            <w:tcW w:w="292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C14D5" w:rsidRDefault="008F715D" w:rsidP="002105A0">
            <w:pPr>
              <w:rPr>
                <w:color w:val="000000"/>
                <w:sz w:val="20"/>
                <w:szCs w:val="20"/>
              </w:rPr>
            </w:pPr>
            <w:r w:rsidRPr="009C14D5">
              <w:rPr>
                <w:color w:val="000000"/>
                <w:sz w:val="20"/>
                <w:szCs w:val="20"/>
              </w:rPr>
              <w:t>Administration Sociale</w:t>
            </w:r>
          </w:p>
        </w:tc>
        <w:tc>
          <w:tcPr>
            <w:tcW w:w="24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35,3</w:t>
            </w:r>
          </w:p>
        </w:tc>
        <w:tc>
          <w:tcPr>
            <w:tcW w:w="12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41,1</w:t>
            </w:r>
          </w:p>
        </w:tc>
        <w:tc>
          <w:tcPr>
            <w:tcW w:w="1200" w:type="dxa"/>
            <w:tcBorders>
              <w:top w:val="nil"/>
              <w:left w:val="nil"/>
              <w:bottom w:val="single" w:sz="12" w:space="0" w:color="0070C0"/>
              <w:right w:val="single" w:sz="12" w:space="0" w:color="0070C0"/>
            </w:tcBorders>
            <w:shd w:val="clear" w:color="auto" w:fill="auto"/>
            <w:vAlign w:val="center"/>
            <w:hideMark/>
          </w:tcPr>
          <w:p w:rsidR="008F715D" w:rsidRPr="009C14D5" w:rsidRDefault="008F715D" w:rsidP="002105A0">
            <w:pPr>
              <w:jc w:val="center"/>
              <w:rPr>
                <w:color w:val="000000"/>
                <w:sz w:val="20"/>
                <w:szCs w:val="20"/>
              </w:rPr>
            </w:pPr>
            <w:r w:rsidRPr="009C14D5">
              <w:rPr>
                <w:color w:val="000000"/>
                <w:sz w:val="20"/>
                <w:szCs w:val="20"/>
              </w:rPr>
              <w:t>16,4%</w:t>
            </w:r>
          </w:p>
        </w:tc>
      </w:tr>
      <w:tr w:rsidR="008F715D" w:rsidRPr="009C14D5" w:rsidTr="002105A0">
        <w:trPr>
          <w:trHeight w:val="330"/>
        </w:trPr>
        <w:tc>
          <w:tcPr>
            <w:tcW w:w="292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C14D5" w:rsidRDefault="008F715D" w:rsidP="002105A0">
            <w:pPr>
              <w:rPr>
                <w:color w:val="000000"/>
                <w:sz w:val="20"/>
                <w:szCs w:val="20"/>
              </w:rPr>
            </w:pPr>
            <w:r w:rsidRPr="009C14D5">
              <w:rPr>
                <w:bCs/>
                <w:color w:val="000000"/>
                <w:sz w:val="20"/>
                <w:szCs w:val="20"/>
              </w:rPr>
              <w:t>Autres</w:t>
            </w:r>
          </w:p>
        </w:tc>
        <w:tc>
          <w:tcPr>
            <w:tcW w:w="24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0,3</w:t>
            </w:r>
          </w:p>
        </w:tc>
        <w:tc>
          <w:tcPr>
            <w:tcW w:w="12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color w:val="000000"/>
                <w:sz w:val="20"/>
                <w:szCs w:val="20"/>
              </w:rPr>
            </w:pPr>
            <w:r w:rsidRPr="009C14D5">
              <w:rPr>
                <w:color w:val="000000"/>
                <w:sz w:val="20"/>
                <w:szCs w:val="20"/>
              </w:rPr>
              <w:t>1,5</w:t>
            </w:r>
          </w:p>
        </w:tc>
        <w:tc>
          <w:tcPr>
            <w:tcW w:w="1200" w:type="dxa"/>
            <w:tcBorders>
              <w:top w:val="nil"/>
              <w:left w:val="nil"/>
              <w:bottom w:val="single" w:sz="12" w:space="0" w:color="0070C0"/>
              <w:right w:val="single" w:sz="12" w:space="0" w:color="0070C0"/>
            </w:tcBorders>
            <w:shd w:val="clear" w:color="auto" w:fill="auto"/>
            <w:vAlign w:val="center"/>
            <w:hideMark/>
          </w:tcPr>
          <w:p w:rsidR="008F715D" w:rsidRPr="009C14D5" w:rsidRDefault="008F715D" w:rsidP="002105A0">
            <w:pPr>
              <w:jc w:val="center"/>
              <w:rPr>
                <w:color w:val="000000"/>
                <w:sz w:val="20"/>
                <w:szCs w:val="20"/>
              </w:rPr>
            </w:pPr>
            <w:r w:rsidRPr="009C14D5">
              <w:rPr>
                <w:color w:val="000000"/>
                <w:sz w:val="20"/>
                <w:szCs w:val="20"/>
              </w:rPr>
              <w:t>-</w:t>
            </w:r>
          </w:p>
        </w:tc>
      </w:tr>
      <w:tr w:rsidR="008F715D" w:rsidRPr="009C14D5" w:rsidTr="002105A0">
        <w:trPr>
          <w:trHeight w:val="330"/>
        </w:trPr>
        <w:tc>
          <w:tcPr>
            <w:tcW w:w="2920"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9C14D5" w:rsidRDefault="008F715D" w:rsidP="002105A0">
            <w:pPr>
              <w:rPr>
                <w:b/>
                <w:bCs/>
                <w:color w:val="000000"/>
                <w:sz w:val="20"/>
                <w:szCs w:val="20"/>
              </w:rPr>
            </w:pPr>
            <w:r w:rsidRPr="009C14D5">
              <w:rPr>
                <w:b/>
                <w:bCs/>
                <w:color w:val="000000"/>
                <w:sz w:val="20"/>
                <w:szCs w:val="20"/>
              </w:rPr>
              <w:t>TOTAL</w:t>
            </w:r>
          </w:p>
        </w:tc>
        <w:tc>
          <w:tcPr>
            <w:tcW w:w="24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b/>
                <w:bCs/>
                <w:color w:val="000000"/>
                <w:sz w:val="20"/>
                <w:szCs w:val="20"/>
              </w:rPr>
            </w:pPr>
            <w:r w:rsidRPr="009C14D5">
              <w:rPr>
                <w:b/>
                <w:bCs/>
                <w:color w:val="000000"/>
                <w:sz w:val="20"/>
                <w:szCs w:val="20"/>
              </w:rPr>
              <w:t>251,8</w:t>
            </w:r>
          </w:p>
        </w:tc>
        <w:tc>
          <w:tcPr>
            <w:tcW w:w="1200" w:type="dxa"/>
            <w:tcBorders>
              <w:top w:val="nil"/>
              <w:left w:val="nil"/>
              <w:bottom w:val="single" w:sz="12" w:space="0" w:color="0070C0"/>
              <w:right w:val="single" w:sz="12" w:space="0" w:color="0070C0"/>
            </w:tcBorders>
            <w:shd w:val="clear" w:color="auto" w:fill="auto"/>
            <w:noWrap/>
            <w:vAlign w:val="center"/>
            <w:hideMark/>
          </w:tcPr>
          <w:p w:rsidR="008F715D" w:rsidRPr="009C14D5" w:rsidRDefault="008F715D" w:rsidP="002105A0">
            <w:pPr>
              <w:jc w:val="center"/>
              <w:rPr>
                <w:b/>
                <w:bCs/>
                <w:color w:val="000000"/>
                <w:sz w:val="20"/>
                <w:szCs w:val="20"/>
              </w:rPr>
            </w:pPr>
            <w:r w:rsidRPr="009C14D5">
              <w:rPr>
                <w:b/>
                <w:bCs/>
                <w:color w:val="000000"/>
                <w:sz w:val="20"/>
                <w:szCs w:val="20"/>
              </w:rPr>
              <w:t>314,7</w:t>
            </w:r>
          </w:p>
        </w:tc>
        <w:tc>
          <w:tcPr>
            <w:tcW w:w="1200" w:type="dxa"/>
            <w:tcBorders>
              <w:top w:val="nil"/>
              <w:left w:val="nil"/>
              <w:bottom w:val="single" w:sz="12" w:space="0" w:color="0070C0"/>
              <w:right w:val="single" w:sz="12" w:space="0" w:color="0070C0"/>
            </w:tcBorders>
            <w:shd w:val="clear" w:color="auto" w:fill="auto"/>
            <w:vAlign w:val="center"/>
            <w:hideMark/>
          </w:tcPr>
          <w:p w:rsidR="008F715D" w:rsidRPr="009C14D5" w:rsidRDefault="008F715D" w:rsidP="002105A0">
            <w:pPr>
              <w:jc w:val="center"/>
              <w:rPr>
                <w:b/>
                <w:bCs/>
                <w:color w:val="000000"/>
                <w:sz w:val="20"/>
                <w:szCs w:val="20"/>
              </w:rPr>
            </w:pPr>
            <w:r w:rsidRPr="009C14D5">
              <w:rPr>
                <w:b/>
                <w:bCs/>
                <w:color w:val="000000"/>
                <w:sz w:val="20"/>
                <w:szCs w:val="20"/>
              </w:rPr>
              <w:t>25,0%</w:t>
            </w:r>
          </w:p>
        </w:tc>
      </w:tr>
    </w:tbl>
    <w:p w:rsidR="008F715D" w:rsidRPr="00940262" w:rsidRDefault="008F715D" w:rsidP="008F715D">
      <w:pPr>
        <w:autoSpaceDE w:val="0"/>
        <w:autoSpaceDN w:val="0"/>
        <w:adjustRightInd w:val="0"/>
        <w:rPr>
          <w:i/>
          <w:sz w:val="20"/>
          <w:szCs w:val="20"/>
        </w:rPr>
      </w:pPr>
      <w:r w:rsidRPr="00940262">
        <w:rPr>
          <w:i/>
          <w:sz w:val="20"/>
          <w:szCs w:val="20"/>
        </w:rPr>
        <w:t>Sources: DG</w:t>
      </w:r>
      <w:r>
        <w:rPr>
          <w:i/>
          <w:sz w:val="20"/>
          <w:szCs w:val="20"/>
        </w:rPr>
        <w:t>CPT</w:t>
      </w:r>
    </w:p>
    <w:p w:rsidR="008F715D" w:rsidRDefault="008F715D" w:rsidP="008F715D"/>
    <w:p w:rsidR="008F715D" w:rsidRPr="00393CDB" w:rsidRDefault="008F715D" w:rsidP="008F715D">
      <w:pPr>
        <w:pStyle w:val="Titre2"/>
        <w:rPr>
          <w:b/>
          <w:bCs/>
          <w:i w:val="0"/>
          <w:color w:val="0000FF"/>
          <w:sz w:val="24"/>
        </w:rPr>
      </w:pPr>
      <w:bookmarkStart w:id="281" w:name="_Toc453833476"/>
      <w:bookmarkStart w:id="282" w:name="_Toc462990868"/>
      <w:r w:rsidRPr="00393CDB">
        <w:rPr>
          <w:b/>
          <w:bCs/>
          <w:i w:val="0"/>
          <w:color w:val="0000FF"/>
          <w:sz w:val="24"/>
        </w:rPr>
        <w:t>III.3 LE COMMERCE EXTERIEUR</w:t>
      </w:r>
      <w:bookmarkEnd w:id="281"/>
      <w:bookmarkEnd w:id="282"/>
      <w:r>
        <w:rPr>
          <w:b/>
          <w:bCs/>
          <w:i w:val="0"/>
          <w:color w:val="0000FF"/>
          <w:sz w:val="24"/>
        </w:rPr>
        <w:t xml:space="preserve"> </w:t>
      </w:r>
    </w:p>
    <w:p w:rsidR="008F715D" w:rsidRDefault="008F715D" w:rsidP="008F715D">
      <w:pPr>
        <w:tabs>
          <w:tab w:val="left" w:pos="6740"/>
        </w:tabs>
        <w:spacing w:after="240" w:line="276" w:lineRule="auto"/>
        <w:jc w:val="both"/>
      </w:pPr>
      <w:bookmarkStart w:id="283" w:name="_Toc436475111"/>
      <w:bookmarkStart w:id="284" w:name="_Toc446528850"/>
      <w:bookmarkStart w:id="285" w:name="_Toc389568385"/>
      <w:bookmarkStart w:id="286" w:name="_Toc389653187"/>
      <w:bookmarkStart w:id="287" w:name="_Toc389653415"/>
      <w:bookmarkStart w:id="288" w:name="_Toc453833482"/>
    </w:p>
    <w:p w:rsidR="008F715D" w:rsidRPr="0032636E" w:rsidRDefault="008F715D" w:rsidP="008F715D">
      <w:pPr>
        <w:tabs>
          <w:tab w:val="left" w:pos="6740"/>
        </w:tabs>
        <w:spacing w:after="240" w:line="276" w:lineRule="auto"/>
        <w:jc w:val="both"/>
      </w:pPr>
      <w:r w:rsidRPr="0032636E">
        <w:t xml:space="preserve">Au terme des six (6) premiers mois de l’année 2016, l’analyse des flux commerciaux entre le Gabon et le reste du monde présente un solde positif de 1076 milliards de FCFA. Cet excédent commercial a, cependant, connu une diminution de 52,3% par rapport au premier semestre 2015, en raison de la baisse des exportations et l’augmentation des importations. </w:t>
      </w:r>
    </w:p>
    <w:p w:rsidR="008F715D" w:rsidRDefault="008F715D" w:rsidP="008F715D">
      <w:pPr>
        <w:jc w:val="both"/>
        <w:rPr>
          <w:b/>
          <w:i/>
          <w:sz w:val="22"/>
          <w:szCs w:val="22"/>
        </w:rPr>
      </w:pPr>
      <w:r w:rsidRPr="00CE04C1">
        <w:rPr>
          <w:b/>
          <w:i/>
          <w:sz w:val="22"/>
          <w:szCs w:val="22"/>
        </w:rPr>
        <w:t>Evolution du commerce</w:t>
      </w:r>
      <w:r>
        <w:rPr>
          <w:b/>
          <w:i/>
          <w:sz w:val="22"/>
          <w:szCs w:val="22"/>
        </w:rPr>
        <w:t xml:space="preserve"> extérieur à fin juin 2016</w:t>
      </w:r>
    </w:p>
    <w:p w:rsidR="008F715D" w:rsidRDefault="008F715D" w:rsidP="008F715D">
      <w:pPr>
        <w:jc w:val="both"/>
        <w:rPr>
          <w:b/>
          <w:i/>
          <w:sz w:val="22"/>
          <w:szCs w:val="22"/>
        </w:rPr>
      </w:pPr>
    </w:p>
    <w:tbl>
      <w:tblPr>
        <w:tblW w:w="8720" w:type="dxa"/>
        <w:tblInd w:w="55" w:type="dxa"/>
        <w:tblCellMar>
          <w:left w:w="70" w:type="dxa"/>
          <w:right w:w="70" w:type="dxa"/>
        </w:tblCellMar>
        <w:tblLook w:val="04A0"/>
      </w:tblPr>
      <w:tblGrid>
        <w:gridCol w:w="2720"/>
        <w:gridCol w:w="1200"/>
        <w:gridCol w:w="1200"/>
        <w:gridCol w:w="1200"/>
        <w:gridCol w:w="1200"/>
        <w:gridCol w:w="1200"/>
      </w:tblGrid>
      <w:tr w:rsidR="008F715D" w:rsidRPr="00A94DFA" w:rsidTr="002105A0">
        <w:trPr>
          <w:trHeight w:val="330"/>
        </w:trPr>
        <w:tc>
          <w:tcPr>
            <w:tcW w:w="2720" w:type="dxa"/>
            <w:tcBorders>
              <w:top w:val="single" w:sz="12" w:space="0" w:color="0070C0"/>
              <w:left w:val="single" w:sz="12" w:space="0" w:color="0070C0"/>
              <w:bottom w:val="single" w:sz="12" w:space="0" w:color="0070C0"/>
              <w:right w:val="single" w:sz="12" w:space="0" w:color="0070C0"/>
            </w:tcBorders>
            <w:shd w:val="clear" w:color="auto" w:fill="auto"/>
            <w:vAlign w:val="center"/>
            <w:hideMark/>
          </w:tcPr>
          <w:p w:rsidR="008F715D" w:rsidRPr="00A94DFA" w:rsidRDefault="008F715D" w:rsidP="002105A0">
            <w:pPr>
              <w:rPr>
                <w:i/>
                <w:iCs/>
                <w:color w:val="000000"/>
                <w:sz w:val="20"/>
                <w:szCs w:val="20"/>
              </w:rPr>
            </w:pP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A94DFA" w:rsidRDefault="008F715D" w:rsidP="002105A0">
            <w:pPr>
              <w:rPr>
                <w:b/>
                <w:bCs/>
                <w:color w:val="000000"/>
                <w:sz w:val="20"/>
                <w:szCs w:val="20"/>
              </w:rPr>
            </w:pPr>
            <w:r>
              <w:rPr>
                <w:b/>
                <w:bCs/>
                <w:color w:val="000000"/>
                <w:sz w:val="20"/>
                <w:szCs w:val="20"/>
              </w:rPr>
              <w:t xml:space="preserve">Juin </w:t>
            </w:r>
            <w:r w:rsidRPr="00A94DFA">
              <w:rPr>
                <w:b/>
                <w:bCs/>
                <w:color w:val="000000"/>
                <w:sz w:val="20"/>
                <w:szCs w:val="20"/>
              </w:rPr>
              <w:t>2014</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A94DFA" w:rsidRDefault="008F715D" w:rsidP="002105A0">
            <w:pPr>
              <w:rPr>
                <w:b/>
                <w:bCs/>
                <w:color w:val="000000"/>
                <w:sz w:val="20"/>
                <w:szCs w:val="20"/>
              </w:rPr>
            </w:pPr>
            <w:r>
              <w:rPr>
                <w:b/>
                <w:bCs/>
                <w:color w:val="000000"/>
                <w:sz w:val="20"/>
                <w:szCs w:val="20"/>
              </w:rPr>
              <w:t xml:space="preserve">Jun </w:t>
            </w:r>
            <w:r w:rsidRPr="00A94DFA">
              <w:rPr>
                <w:b/>
                <w:bCs/>
                <w:color w:val="000000"/>
                <w:sz w:val="20"/>
                <w:szCs w:val="20"/>
              </w:rPr>
              <w:t>2015</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A94DFA" w:rsidRDefault="008F715D" w:rsidP="002105A0">
            <w:pPr>
              <w:rPr>
                <w:b/>
                <w:bCs/>
                <w:color w:val="000000"/>
                <w:sz w:val="20"/>
                <w:szCs w:val="20"/>
              </w:rPr>
            </w:pPr>
            <w:r>
              <w:rPr>
                <w:b/>
                <w:bCs/>
                <w:color w:val="000000"/>
                <w:sz w:val="20"/>
                <w:szCs w:val="20"/>
              </w:rPr>
              <w:t>Ju in</w:t>
            </w:r>
            <w:r w:rsidRPr="00A94DFA">
              <w:rPr>
                <w:b/>
                <w:bCs/>
                <w:color w:val="000000"/>
                <w:sz w:val="20"/>
                <w:szCs w:val="20"/>
              </w:rPr>
              <w:t>2016</w:t>
            </w:r>
          </w:p>
        </w:tc>
        <w:tc>
          <w:tcPr>
            <w:tcW w:w="1200" w:type="dxa"/>
            <w:tcBorders>
              <w:top w:val="single" w:sz="12" w:space="0" w:color="0070C0"/>
              <w:left w:val="single" w:sz="12" w:space="0" w:color="0070C0"/>
              <w:bottom w:val="single" w:sz="12" w:space="0" w:color="0070C0"/>
              <w:right w:val="single" w:sz="12" w:space="0" w:color="0070C0"/>
            </w:tcBorders>
            <w:shd w:val="clear" w:color="auto" w:fill="auto"/>
            <w:vAlign w:val="center"/>
            <w:hideMark/>
          </w:tcPr>
          <w:p w:rsidR="008F715D" w:rsidRPr="00A94DFA" w:rsidRDefault="008F715D" w:rsidP="002105A0">
            <w:pPr>
              <w:rPr>
                <w:b/>
                <w:bCs/>
                <w:color w:val="000000"/>
                <w:sz w:val="20"/>
                <w:szCs w:val="20"/>
              </w:rPr>
            </w:pPr>
            <w:r>
              <w:rPr>
                <w:b/>
                <w:bCs/>
                <w:color w:val="000000"/>
                <w:sz w:val="20"/>
                <w:szCs w:val="20"/>
              </w:rPr>
              <w:t>Var 15/14</w:t>
            </w:r>
          </w:p>
        </w:tc>
        <w:tc>
          <w:tcPr>
            <w:tcW w:w="1200" w:type="dxa"/>
            <w:tcBorders>
              <w:top w:val="single" w:sz="12" w:space="0" w:color="0070C0"/>
              <w:left w:val="nil"/>
              <w:bottom w:val="single" w:sz="12" w:space="0" w:color="0070C0"/>
              <w:right w:val="single" w:sz="12" w:space="0" w:color="0070C0"/>
            </w:tcBorders>
            <w:shd w:val="clear" w:color="auto" w:fill="auto"/>
            <w:vAlign w:val="center"/>
            <w:hideMark/>
          </w:tcPr>
          <w:p w:rsidR="008F715D" w:rsidRPr="00A94DFA" w:rsidRDefault="008F715D" w:rsidP="002105A0">
            <w:pPr>
              <w:rPr>
                <w:b/>
                <w:bCs/>
                <w:color w:val="000000"/>
                <w:sz w:val="20"/>
                <w:szCs w:val="20"/>
              </w:rPr>
            </w:pPr>
            <w:r>
              <w:rPr>
                <w:b/>
                <w:bCs/>
                <w:color w:val="000000"/>
                <w:sz w:val="20"/>
                <w:szCs w:val="20"/>
              </w:rPr>
              <w:t>Var 16/15</w:t>
            </w:r>
          </w:p>
        </w:tc>
      </w:tr>
      <w:tr w:rsidR="008F715D" w:rsidRPr="00A94DFA" w:rsidTr="002105A0">
        <w:trPr>
          <w:trHeight w:val="330"/>
        </w:trPr>
        <w:tc>
          <w:tcPr>
            <w:tcW w:w="2720" w:type="dxa"/>
            <w:tcBorders>
              <w:top w:val="single" w:sz="12" w:space="0" w:color="0070C0"/>
              <w:left w:val="single" w:sz="12" w:space="0" w:color="0070C0"/>
              <w:bottom w:val="nil"/>
              <w:right w:val="single" w:sz="12" w:space="0" w:color="0070C0"/>
            </w:tcBorders>
            <w:shd w:val="clear" w:color="auto" w:fill="auto"/>
            <w:noWrap/>
            <w:vAlign w:val="bottom"/>
            <w:hideMark/>
          </w:tcPr>
          <w:p w:rsidR="008F715D" w:rsidRPr="00A94DFA" w:rsidRDefault="008F715D" w:rsidP="002105A0">
            <w:pPr>
              <w:jc w:val="center"/>
              <w:rPr>
                <w:color w:val="000000"/>
                <w:sz w:val="20"/>
                <w:szCs w:val="20"/>
              </w:rPr>
            </w:pPr>
            <w:r w:rsidRPr="00A94DFA">
              <w:rPr>
                <w:color w:val="000000"/>
                <w:sz w:val="20"/>
                <w:szCs w:val="20"/>
              </w:rPr>
              <w:t>Exportation FOB</w:t>
            </w:r>
          </w:p>
        </w:tc>
        <w:tc>
          <w:tcPr>
            <w:tcW w:w="1200" w:type="dxa"/>
            <w:tcBorders>
              <w:top w:val="single" w:sz="12" w:space="0" w:color="0070C0"/>
              <w:left w:val="nil"/>
              <w:bottom w:val="nil"/>
              <w:right w:val="single" w:sz="12" w:space="0" w:color="0070C0"/>
            </w:tcBorders>
            <w:shd w:val="clear" w:color="auto" w:fill="auto"/>
            <w:noWrap/>
            <w:vAlign w:val="bottom"/>
            <w:hideMark/>
          </w:tcPr>
          <w:p w:rsidR="008F715D" w:rsidRPr="00A94DFA" w:rsidRDefault="008F715D" w:rsidP="002105A0">
            <w:pPr>
              <w:jc w:val="right"/>
              <w:rPr>
                <w:rFonts w:ascii="MS Sans Serif" w:hAnsi="MS Sans Serif"/>
                <w:color w:val="000000"/>
                <w:sz w:val="20"/>
                <w:szCs w:val="20"/>
              </w:rPr>
            </w:pPr>
            <w:r w:rsidRPr="00A94DFA">
              <w:rPr>
                <w:rFonts w:ascii="MS Sans Serif" w:hAnsi="MS Sans Serif"/>
                <w:color w:val="000000"/>
                <w:sz w:val="20"/>
                <w:szCs w:val="20"/>
              </w:rPr>
              <w:t>3 209</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A94DFA" w:rsidRDefault="008F715D" w:rsidP="002105A0">
            <w:pPr>
              <w:jc w:val="right"/>
              <w:rPr>
                <w:rFonts w:ascii="MS Sans Serif" w:hAnsi="MS Sans Serif"/>
                <w:color w:val="000000"/>
                <w:sz w:val="20"/>
                <w:szCs w:val="20"/>
              </w:rPr>
            </w:pPr>
            <w:r w:rsidRPr="00A94DFA">
              <w:rPr>
                <w:rFonts w:ascii="MS Sans Serif" w:hAnsi="MS Sans Serif"/>
                <w:color w:val="000000"/>
                <w:sz w:val="20"/>
                <w:szCs w:val="20"/>
              </w:rPr>
              <w:t>4 431</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A94DFA" w:rsidRDefault="008F715D" w:rsidP="002105A0">
            <w:pPr>
              <w:jc w:val="right"/>
              <w:rPr>
                <w:rFonts w:ascii="MS Sans Serif" w:hAnsi="MS Sans Serif"/>
                <w:color w:val="000000"/>
                <w:sz w:val="20"/>
                <w:szCs w:val="20"/>
              </w:rPr>
            </w:pPr>
            <w:r w:rsidRPr="00A94DFA">
              <w:rPr>
                <w:rFonts w:ascii="MS Sans Serif" w:hAnsi="MS Sans Serif"/>
                <w:color w:val="000000"/>
                <w:sz w:val="20"/>
                <w:szCs w:val="20"/>
              </w:rPr>
              <w:t>3 298</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A94DFA" w:rsidRDefault="008F715D" w:rsidP="002105A0">
            <w:pPr>
              <w:jc w:val="right"/>
              <w:rPr>
                <w:rFonts w:ascii="MS Sans Serif" w:hAnsi="MS Sans Serif"/>
                <w:color w:val="000000"/>
                <w:sz w:val="20"/>
                <w:szCs w:val="20"/>
              </w:rPr>
            </w:pPr>
            <w:r w:rsidRPr="00A94DFA">
              <w:rPr>
                <w:rFonts w:ascii="MS Sans Serif" w:hAnsi="MS Sans Serif"/>
                <w:color w:val="000000"/>
                <w:sz w:val="20"/>
                <w:szCs w:val="20"/>
              </w:rPr>
              <w:t>0,4</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A94DFA" w:rsidRDefault="008F715D" w:rsidP="002105A0">
            <w:pPr>
              <w:jc w:val="center"/>
              <w:rPr>
                <w:color w:val="000000"/>
                <w:sz w:val="20"/>
                <w:szCs w:val="20"/>
              </w:rPr>
            </w:pPr>
            <w:r>
              <w:rPr>
                <w:color w:val="000000"/>
                <w:sz w:val="20"/>
                <w:szCs w:val="20"/>
              </w:rPr>
              <w:t>-25,6</w:t>
            </w:r>
            <w:r w:rsidRPr="00A94DFA">
              <w:rPr>
                <w:color w:val="000000"/>
                <w:sz w:val="20"/>
                <w:szCs w:val="20"/>
              </w:rPr>
              <w:t>%</w:t>
            </w:r>
          </w:p>
        </w:tc>
      </w:tr>
      <w:tr w:rsidR="008F715D" w:rsidRPr="00A94DFA" w:rsidTr="002105A0">
        <w:trPr>
          <w:trHeight w:val="330"/>
        </w:trPr>
        <w:tc>
          <w:tcPr>
            <w:tcW w:w="2720" w:type="dxa"/>
            <w:tcBorders>
              <w:top w:val="single" w:sz="12" w:space="0" w:color="0070C0"/>
              <w:left w:val="single" w:sz="12" w:space="0" w:color="0070C0"/>
              <w:bottom w:val="single" w:sz="12" w:space="0" w:color="0070C0"/>
              <w:right w:val="single" w:sz="12" w:space="0" w:color="0070C0"/>
            </w:tcBorders>
            <w:shd w:val="clear" w:color="auto" w:fill="auto"/>
            <w:noWrap/>
            <w:vAlign w:val="bottom"/>
            <w:hideMark/>
          </w:tcPr>
          <w:p w:rsidR="008F715D" w:rsidRPr="00A94DFA" w:rsidRDefault="008F715D" w:rsidP="002105A0">
            <w:pPr>
              <w:jc w:val="center"/>
              <w:rPr>
                <w:color w:val="000000"/>
                <w:sz w:val="20"/>
                <w:szCs w:val="20"/>
              </w:rPr>
            </w:pPr>
            <w:r w:rsidRPr="00A94DFA">
              <w:rPr>
                <w:color w:val="000000"/>
                <w:sz w:val="20"/>
                <w:szCs w:val="20"/>
              </w:rPr>
              <w:t>Importation CAF</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A94DFA" w:rsidRDefault="008F715D" w:rsidP="002105A0">
            <w:pPr>
              <w:jc w:val="right"/>
              <w:rPr>
                <w:rFonts w:ascii="MS Sans Serif" w:hAnsi="MS Sans Serif"/>
                <w:color w:val="000000"/>
                <w:sz w:val="20"/>
                <w:szCs w:val="20"/>
              </w:rPr>
            </w:pPr>
            <w:r w:rsidRPr="00A94DFA">
              <w:rPr>
                <w:rFonts w:ascii="MS Sans Serif" w:hAnsi="MS Sans Serif"/>
                <w:color w:val="000000"/>
                <w:sz w:val="20"/>
                <w:szCs w:val="20"/>
              </w:rPr>
              <w:t>2 218</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A94DFA" w:rsidRDefault="008F715D" w:rsidP="002105A0">
            <w:pPr>
              <w:jc w:val="right"/>
              <w:rPr>
                <w:rFonts w:ascii="MS Sans Serif" w:hAnsi="MS Sans Serif"/>
                <w:color w:val="000000"/>
                <w:sz w:val="20"/>
                <w:szCs w:val="20"/>
              </w:rPr>
            </w:pPr>
            <w:r w:rsidRPr="00A94DFA">
              <w:rPr>
                <w:rFonts w:ascii="MS Sans Serif" w:hAnsi="MS Sans Serif"/>
                <w:color w:val="000000"/>
                <w:sz w:val="20"/>
                <w:szCs w:val="20"/>
              </w:rPr>
              <w:t>2 176</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A94DFA" w:rsidRDefault="008F715D" w:rsidP="002105A0">
            <w:pPr>
              <w:jc w:val="right"/>
              <w:rPr>
                <w:rFonts w:ascii="MS Sans Serif" w:hAnsi="MS Sans Serif"/>
                <w:color w:val="000000"/>
                <w:sz w:val="20"/>
                <w:szCs w:val="20"/>
              </w:rPr>
            </w:pPr>
            <w:r w:rsidRPr="00A94DFA">
              <w:rPr>
                <w:rFonts w:ascii="MS Sans Serif" w:hAnsi="MS Sans Serif"/>
                <w:color w:val="000000"/>
                <w:sz w:val="20"/>
                <w:szCs w:val="20"/>
              </w:rPr>
              <w:t>2 222</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A94DFA" w:rsidRDefault="008F715D" w:rsidP="002105A0">
            <w:pPr>
              <w:jc w:val="right"/>
              <w:rPr>
                <w:rFonts w:ascii="MS Sans Serif" w:hAnsi="MS Sans Serif"/>
                <w:color w:val="000000"/>
                <w:sz w:val="20"/>
                <w:szCs w:val="20"/>
              </w:rPr>
            </w:pPr>
            <w:r w:rsidRPr="00A94DFA">
              <w:rPr>
                <w:rFonts w:ascii="MS Sans Serif" w:hAnsi="MS Sans Serif"/>
                <w:color w:val="000000"/>
                <w:sz w:val="20"/>
                <w:szCs w:val="20"/>
              </w:rPr>
              <w:t>0,0</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A94DFA" w:rsidRDefault="008F715D" w:rsidP="002105A0">
            <w:pPr>
              <w:jc w:val="center"/>
              <w:rPr>
                <w:color w:val="000000"/>
                <w:sz w:val="20"/>
                <w:szCs w:val="20"/>
              </w:rPr>
            </w:pPr>
            <w:r>
              <w:rPr>
                <w:color w:val="000000"/>
                <w:sz w:val="20"/>
                <w:szCs w:val="20"/>
              </w:rPr>
              <w:t>2,1</w:t>
            </w:r>
            <w:r w:rsidRPr="00A94DFA">
              <w:rPr>
                <w:color w:val="000000"/>
                <w:sz w:val="20"/>
                <w:szCs w:val="20"/>
              </w:rPr>
              <w:t>%</w:t>
            </w:r>
          </w:p>
        </w:tc>
      </w:tr>
      <w:tr w:rsidR="008F715D" w:rsidRPr="00A94DFA" w:rsidTr="002105A0">
        <w:trPr>
          <w:trHeight w:val="330"/>
        </w:trPr>
        <w:tc>
          <w:tcPr>
            <w:tcW w:w="2720" w:type="dxa"/>
            <w:tcBorders>
              <w:top w:val="nil"/>
              <w:left w:val="single" w:sz="12" w:space="0" w:color="0070C0"/>
              <w:bottom w:val="single" w:sz="12" w:space="0" w:color="0070C0"/>
              <w:right w:val="single" w:sz="12" w:space="0" w:color="0070C0"/>
            </w:tcBorders>
            <w:shd w:val="clear" w:color="auto" w:fill="auto"/>
            <w:noWrap/>
            <w:vAlign w:val="bottom"/>
            <w:hideMark/>
          </w:tcPr>
          <w:p w:rsidR="008F715D" w:rsidRPr="00A94DFA" w:rsidRDefault="008F715D" w:rsidP="002105A0">
            <w:pPr>
              <w:jc w:val="center"/>
              <w:rPr>
                <w:b/>
                <w:bCs/>
                <w:color w:val="000000"/>
                <w:sz w:val="20"/>
                <w:szCs w:val="20"/>
              </w:rPr>
            </w:pPr>
            <w:r w:rsidRPr="00A94DFA">
              <w:rPr>
                <w:b/>
                <w:bCs/>
                <w:color w:val="000000"/>
                <w:sz w:val="20"/>
                <w:szCs w:val="20"/>
              </w:rPr>
              <w:t>Solde commercial</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A94DFA" w:rsidRDefault="008F715D" w:rsidP="002105A0">
            <w:pPr>
              <w:jc w:val="right"/>
              <w:rPr>
                <w:rFonts w:ascii="MS Sans Serif" w:hAnsi="MS Sans Serif"/>
                <w:color w:val="000000"/>
                <w:sz w:val="20"/>
                <w:szCs w:val="20"/>
              </w:rPr>
            </w:pPr>
            <w:r w:rsidRPr="00A94DFA">
              <w:rPr>
                <w:rFonts w:ascii="MS Sans Serif" w:hAnsi="MS Sans Serif"/>
                <w:color w:val="000000"/>
                <w:sz w:val="20"/>
                <w:szCs w:val="20"/>
              </w:rPr>
              <w:t>991</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A94DFA" w:rsidRDefault="008F715D" w:rsidP="002105A0">
            <w:pPr>
              <w:jc w:val="right"/>
              <w:rPr>
                <w:rFonts w:ascii="MS Sans Serif" w:hAnsi="MS Sans Serif"/>
                <w:color w:val="000000"/>
                <w:sz w:val="20"/>
                <w:szCs w:val="20"/>
              </w:rPr>
            </w:pPr>
            <w:r w:rsidRPr="00A94DFA">
              <w:rPr>
                <w:rFonts w:ascii="MS Sans Serif" w:hAnsi="MS Sans Serif"/>
                <w:color w:val="000000"/>
                <w:sz w:val="20"/>
                <w:szCs w:val="20"/>
              </w:rPr>
              <w:t>2 255</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A94DFA" w:rsidRDefault="008F715D" w:rsidP="002105A0">
            <w:pPr>
              <w:jc w:val="right"/>
              <w:rPr>
                <w:rFonts w:ascii="MS Sans Serif" w:hAnsi="MS Sans Serif"/>
                <w:color w:val="000000"/>
                <w:sz w:val="20"/>
                <w:szCs w:val="20"/>
              </w:rPr>
            </w:pPr>
            <w:r w:rsidRPr="00A94DFA">
              <w:rPr>
                <w:rFonts w:ascii="MS Sans Serif" w:hAnsi="MS Sans Serif"/>
                <w:color w:val="000000"/>
                <w:sz w:val="20"/>
                <w:szCs w:val="20"/>
              </w:rPr>
              <w:t>1 076</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A94DFA" w:rsidRDefault="008F715D" w:rsidP="002105A0">
            <w:pPr>
              <w:jc w:val="right"/>
              <w:rPr>
                <w:rFonts w:ascii="MS Sans Serif" w:hAnsi="MS Sans Serif"/>
                <w:color w:val="000000"/>
                <w:sz w:val="20"/>
                <w:szCs w:val="20"/>
              </w:rPr>
            </w:pPr>
            <w:r w:rsidRPr="00A94DFA">
              <w:rPr>
                <w:rFonts w:ascii="MS Sans Serif" w:hAnsi="MS Sans Serif"/>
                <w:color w:val="000000"/>
                <w:sz w:val="20"/>
                <w:szCs w:val="20"/>
              </w:rPr>
              <w:t>1,3</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A94DFA" w:rsidRDefault="008F715D" w:rsidP="002105A0">
            <w:pPr>
              <w:jc w:val="center"/>
              <w:rPr>
                <w:color w:val="000000"/>
                <w:sz w:val="20"/>
                <w:szCs w:val="20"/>
              </w:rPr>
            </w:pPr>
            <w:r>
              <w:rPr>
                <w:color w:val="000000"/>
                <w:sz w:val="20"/>
                <w:szCs w:val="20"/>
              </w:rPr>
              <w:t>-52,3</w:t>
            </w:r>
            <w:r w:rsidRPr="00A94DFA">
              <w:rPr>
                <w:color w:val="000000"/>
                <w:sz w:val="20"/>
                <w:szCs w:val="20"/>
              </w:rPr>
              <w:t>%</w:t>
            </w:r>
          </w:p>
        </w:tc>
      </w:tr>
    </w:tbl>
    <w:p w:rsidR="008F715D" w:rsidRPr="00CF1C8D" w:rsidRDefault="008F715D" w:rsidP="008F715D">
      <w:pPr>
        <w:spacing w:after="120"/>
        <w:jc w:val="both"/>
        <w:rPr>
          <w:rFonts w:eastAsia="Arial Unicode MS"/>
          <w:sz w:val="20"/>
          <w:szCs w:val="20"/>
        </w:rPr>
      </w:pPr>
      <w:r w:rsidRPr="00CF1C8D">
        <w:rPr>
          <w:rFonts w:eastAsia="Arial Unicode MS"/>
          <w:sz w:val="20"/>
          <w:szCs w:val="20"/>
        </w:rPr>
        <w:t>Source : DGD</w:t>
      </w:r>
      <w:r>
        <w:rPr>
          <w:rFonts w:eastAsia="Arial Unicode MS"/>
          <w:sz w:val="20"/>
          <w:szCs w:val="20"/>
        </w:rPr>
        <w:t>DI</w:t>
      </w:r>
    </w:p>
    <w:p w:rsidR="008F715D" w:rsidRDefault="008F715D" w:rsidP="008F715D"/>
    <w:p w:rsidR="008F715D" w:rsidRPr="0097597D" w:rsidRDefault="008F715D" w:rsidP="008F715D">
      <w:pPr>
        <w:pStyle w:val="Titre3"/>
        <w:ind w:firstLine="0"/>
        <w:rPr>
          <w:b/>
          <w:bCs/>
          <w:i/>
          <w:iCs/>
          <w:color w:val="0000FF"/>
          <w:sz w:val="24"/>
        </w:rPr>
      </w:pPr>
      <w:bookmarkStart w:id="289" w:name="_Toc462990869"/>
      <w:r w:rsidRPr="0097597D">
        <w:rPr>
          <w:b/>
          <w:bCs/>
          <w:i/>
          <w:iCs/>
          <w:color w:val="0000FF"/>
          <w:sz w:val="24"/>
        </w:rPr>
        <w:t>III.3.1 L’évolution des exportations en valeur</w:t>
      </w:r>
      <w:bookmarkEnd w:id="289"/>
    </w:p>
    <w:p w:rsidR="008F715D" w:rsidRDefault="008F715D" w:rsidP="008F715D">
      <w:pPr>
        <w:jc w:val="both"/>
      </w:pPr>
    </w:p>
    <w:p w:rsidR="008F715D" w:rsidRDefault="008F715D" w:rsidP="008F715D">
      <w:pPr>
        <w:jc w:val="both"/>
      </w:pPr>
      <w:r>
        <w:t>A fin juin 2016, les exportations en valeur ont reculé de 25,6% pour se situer à 3 298 milliards de FCFA. Cette contraction est liée au repli des ventes de pétrole brut (-15,2%), des produits dérivés du pétrole (-25,4%) et du manganèse (-59,3%), dans un contexte économique caractérisé par la chute des cours du pétrole, consécutive à l’abondance de l’offre et à une faiblesse de la croissance mondiale.</w:t>
      </w:r>
    </w:p>
    <w:p w:rsidR="008F715D" w:rsidRDefault="008F715D" w:rsidP="008F715D">
      <w:pPr>
        <w:jc w:val="both"/>
      </w:pPr>
    </w:p>
    <w:p w:rsidR="008F715D" w:rsidRDefault="008F715D" w:rsidP="008F715D">
      <w:pPr>
        <w:jc w:val="both"/>
      </w:pPr>
      <w:r>
        <w:t xml:space="preserve">Néanmoins, les produits suivant ont enregistré des légères hausses de leurs ventes: le </w:t>
      </w:r>
      <w:r w:rsidRPr="00535624">
        <w:t>b</w:t>
      </w:r>
      <w:r>
        <w:rPr>
          <w:color w:val="000000"/>
        </w:rPr>
        <w:t>ois scié</w:t>
      </w:r>
      <w:r w:rsidRPr="000168CC">
        <w:rPr>
          <w:color w:val="000000"/>
        </w:rPr>
        <w:t xml:space="preserve"> </w:t>
      </w:r>
      <w:r>
        <w:rPr>
          <w:color w:val="000000"/>
        </w:rPr>
        <w:t>(</w:t>
      </w:r>
      <w:r>
        <w:t xml:space="preserve">+1,5%) le sillico-manganèse et le poisson et produit de la pèche. Les ventes de ces  produits </w:t>
      </w:r>
      <w:r>
        <w:rPr>
          <w:rFonts w:eastAsia="Calibri"/>
          <w:lang w:eastAsia="en-US"/>
        </w:rPr>
        <w:t>ont faiblement</w:t>
      </w:r>
      <w:r w:rsidRPr="00535624">
        <w:t xml:space="preserve"> compensé le net recul de la valeur des exportations</w:t>
      </w:r>
      <w:r>
        <w:t xml:space="preserve"> de pétrole</w:t>
      </w:r>
      <w:r w:rsidRPr="00535624">
        <w:t xml:space="preserve">. </w:t>
      </w:r>
    </w:p>
    <w:p w:rsidR="008F715D" w:rsidRDefault="008F715D" w:rsidP="008F715D">
      <w:pPr>
        <w:jc w:val="both"/>
        <w:rPr>
          <w:rFonts w:asciiTheme="minorHAnsi" w:hAnsiTheme="minorHAnsi" w:cstheme="minorHAnsi"/>
          <w:b/>
          <w:i/>
        </w:rPr>
      </w:pPr>
    </w:p>
    <w:p w:rsidR="008F715D" w:rsidRDefault="008F715D" w:rsidP="008F715D">
      <w:pPr>
        <w:jc w:val="both"/>
        <w:rPr>
          <w:rFonts w:asciiTheme="minorHAnsi" w:hAnsiTheme="minorHAnsi" w:cstheme="minorHAnsi"/>
          <w:b/>
          <w:i/>
        </w:rPr>
      </w:pPr>
    </w:p>
    <w:p w:rsidR="008F715D" w:rsidRDefault="008F715D" w:rsidP="008F715D">
      <w:pPr>
        <w:jc w:val="both"/>
        <w:rPr>
          <w:rFonts w:asciiTheme="minorHAnsi" w:hAnsiTheme="minorHAnsi" w:cstheme="minorHAnsi"/>
          <w:b/>
          <w:i/>
        </w:rPr>
      </w:pPr>
    </w:p>
    <w:p w:rsidR="008F715D" w:rsidRPr="0072229A" w:rsidRDefault="008F715D" w:rsidP="008F715D">
      <w:pPr>
        <w:jc w:val="both"/>
        <w:rPr>
          <w:rFonts w:asciiTheme="minorHAnsi" w:hAnsiTheme="minorHAnsi" w:cstheme="minorHAnsi"/>
          <w:b/>
          <w:i/>
        </w:rPr>
      </w:pPr>
    </w:p>
    <w:p w:rsidR="008F715D" w:rsidRDefault="008F715D" w:rsidP="008F715D">
      <w:pPr>
        <w:jc w:val="both"/>
        <w:rPr>
          <w:rFonts w:asciiTheme="minorHAnsi" w:hAnsiTheme="minorHAnsi" w:cstheme="minorHAnsi"/>
          <w:b/>
          <w:i/>
          <w:sz w:val="22"/>
        </w:rPr>
      </w:pPr>
      <w:r>
        <w:rPr>
          <w:rFonts w:asciiTheme="minorHAnsi" w:hAnsiTheme="minorHAnsi" w:cstheme="minorHAnsi"/>
          <w:b/>
          <w:i/>
          <w:sz w:val="22"/>
        </w:rPr>
        <w:lastRenderedPageBreak/>
        <w:t>Evolution des</w:t>
      </w:r>
      <w:r w:rsidRPr="0072229A">
        <w:rPr>
          <w:rFonts w:asciiTheme="minorHAnsi" w:hAnsiTheme="minorHAnsi" w:cstheme="minorHAnsi"/>
          <w:b/>
          <w:i/>
          <w:sz w:val="22"/>
        </w:rPr>
        <w:t xml:space="preserve"> exportations en valeur  </w:t>
      </w:r>
      <w:r>
        <w:rPr>
          <w:rFonts w:asciiTheme="minorHAnsi" w:hAnsiTheme="minorHAnsi" w:cstheme="minorHAnsi"/>
          <w:b/>
          <w:i/>
          <w:sz w:val="22"/>
        </w:rPr>
        <w:t>à fin juin 2016</w:t>
      </w:r>
    </w:p>
    <w:tbl>
      <w:tblPr>
        <w:tblW w:w="8860" w:type="dxa"/>
        <w:tblInd w:w="55" w:type="dxa"/>
        <w:tblCellMar>
          <w:left w:w="70" w:type="dxa"/>
          <w:right w:w="70" w:type="dxa"/>
        </w:tblCellMar>
        <w:tblLook w:val="04A0"/>
      </w:tblPr>
      <w:tblGrid>
        <w:gridCol w:w="2860"/>
        <w:gridCol w:w="1200"/>
        <w:gridCol w:w="1200"/>
        <w:gridCol w:w="1200"/>
        <w:gridCol w:w="1200"/>
        <w:gridCol w:w="1200"/>
      </w:tblGrid>
      <w:tr w:rsidR="008F715D" w:rsidRPr="001142E6" w:rsidTr="002105A0">
        <w:trPr>
          <w:trHeight w:val="555"/>
        </w:trPr>
        <w:tc>
          <w:tcPr>
            <w:tcW w:w="2860" w:type="dxa"/>
            <w:tcBorders>
              <w:top w:val="single" w:sz="12" w:space="0" w:color="0070C0"/>
              <w:left w:val="single" w:sz="12" w:space="0" w:color="0070C0"/>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b/>
                <w:bCs/>
                <w:color w:val="000000"/>
                <w:sz w:val="20"/>
                <w:szCs w:val="20"/>
              </w:rPr>
            </w:pPr>
            <w:r w:rsidRPr="001142E6">
              <w:rPr>
                <w:b/>
                <w:bCs/>
                <w:color w:val="000000"/>
                <w:sz w:val="20"/>
                <w:szCs w:val="20"/>
              </w:rPr>
              <w:t>En milliards de francs CFA</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b/>
                <w:bCs/>
                <w:color w:val="000000"/>
                <w:sz w:val="20"/>
                <w:szCs w:val="20"/>
              </w:rPr>
            </w:pPr>
            <w:r w:rsidRPr="001142E6">
              <w:rPr>
                <w:b/>
                <w:bCs/>
                <w:color w:val="000000"/>
                <w:sz w:val="20"/>
                <w:szCs w:val="20"/>
              </w:rPr>
              <w:t>2014</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b/>
                <w:bCs/>
                <w:color w:val="000000"/>
                <w:sz w:val="20"/>
                <w:szCs w:val="20"/>
              </w:rPr>
            </w:pPr>
            <w:r w:rsidRPr="001142E6">
              <w:rPr>
                <w:b/>
                <w:bCs/>
                <w:color w:val="000000"/>
                <w:sz w:val="20"/>
                <w:szCs w:val="20"/>
              </w:rPr>
              <w:t>2015</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b/>
                <w:bCs/>
                <w:color w:val="000000"/>
                <w:sz w:val="20"/>
                <w:szCs w:val="20"/>
              </w:rPr>
            </w:pPr>
            <w:r w:rsidRPr="001142E6">
              <w:rPr>
                <w:b/>
                <w:bCs/>
                <w:color w:val="000000"/>
                <w:sz w:val="20"/>
                <w:szCs w:val="20"/>
              </w:rPr>
              <w:t>2016</w:t>
            </w:r>
          </w:p>
        </w:tc>
        <w:tc>
          <w:tcPr>
            <w:tcW w:w="1200" w:type="dxa"/>
            <w:tcBorders>
              <w:top w:val="single" w:sz="12" w:space="0" w:color="0070C0"/>
              <w:left w:val="nil"/>
              <w:bottom w:val="single" w:sz="12" w:space="0" w:color="0070C0"/>
              <w:right w:val="single" w:sz="12" w:space="0" w:color="0070C0"/>
            </w:tcBorders>
            <w:shd w:val="clear" w:color="auto" w:fill="auto"/>
            <w:vAlign w:val="bottom"/>
            <w:hideMark/>
          </w:tcPr>
          <w:p w:rsidR="008F715D" w:rsidRPr="001142E6" w:rsidRDefault="008F715D" w:rsidP="002105A0">
            <w:pPr>
              <w:jc w:val="center"/>
              <w:rPr>
                <w:b/>
                <w:bCs/>
                <w:color w:val="000000"/>
                <w:sz w:val="20"/>
                <w:szCs w:val="20"/>
              </w:rPr>
            </w:pPr>
            <w:r w:rsidRPr="001142E6">
              <w:rPr>
                <w:b/>
                <w:bCs/>
                <w:color w:val="000000"/>
                <w:sz w:val="20"/>
                <w:szCs w:val="20"/>
              </w:rPr>
              <w:t>Poids en 2016</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b/>
                <w:bCs/>
                <w:color w:val="000000"/>
                <w:sz w:val="20"/>
                <w:szCs w:val="20"/>
              </w:rPr>
            </w:pPr>
            <w:r w:rsidRPr="001142E6">
              <w:rPr>
                <w:b/>
                <w:bCs/>
                <w:color w:val="000000"/>
                <w:sz w:val="20"/>
                <w:szCs w:val="20"/>
              </w:rPr>
              <w:t>Var 16/15</w:t>
            </w:r>
          </w:p>
        </w:tc>
      </w:tr>
      <w:tr w:rsidR="008F715D" w:rsidRPr="001142E6" w:rsidTr="002105A0">
        <w:trPr>
          <w:trHeight w:val="330"/>
        </w:trPr>
        <w:tc>
          <w:tcPr>
            <w:tcW w:w="2860" w:type="dxa"/>
            <w:tcBorders>
              <w:top w:val="nil"/>
              <w:left w:val="single" w:sz="12" w:space="0" w:color="0070C0"/>
              <w:bottom w:val="single" w:sz="12" w:space="0" w:color="0070C0"/>
              <w:right w:val="single" w:sz="12" w:space="0" w:color="0070C0"/>
            </w:tcBorders>
            <w:shd w:val="clear" w:color="000000" w:fill="FFFFFF"/>
            <w:noWrap/>
            <w:vAlign w:val="bottom"/>
            <w:hideMark/>
          </w:tcPr>
          <w:p w:rsidR="008F715D" w:rsidRPr="001142E6" w:rsidRDefault="008F715D" w:rsidP="002105A0">
            <w:pPr>
              <w:rPr>
                <w:color w:val="000000"/>
                <w:sz w:val="20"/>
                <w:szCs w:val="20"/>
              </w:rPr>
            </w:pPr>
            <w:r w:rsidRPr="001142E6">
              <w:rPr>
                <w:color w:val="000000"/>
                <w:sz w:val="20"/>
                <w:szCs w:val="20"/>
              </w:rPr>
              <w:t>Pétrole brut</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2 297,80</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3 581,30</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3 036,10</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92,1%</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sz w:val="20"/>
                <w:szCs w:val="20"/>
              </w:rPr>
            </w:pPr>
            <w:r w:rsidRPr="001142E6">
              <w:rPr>
                <w:color w:val="000000"/>
                <w:sz w:val="20"/>
                <w:szCs w:val="20"/>
              </w:rPr>
              <w:t>-15,2%</w:t>
            </w:r>
          </w:p>
        </w:tc>
      </w:tr>
      <w:tr w:rsidR="008F715D" w:rsidRPr="001142E6" w:rsidTr="002105A0">
        <w:trPr>
          <w:trHeight w:val="330"/>
        </w:trPr>
        <w:tc>
          <w:tcPr>
            <w:tcW w:w="2860" w:type="dxa"/>
            <w:tcBorders>
              <w:top w:val="nil"/>
              <w:left w:val="single" w:sz="12" w:space="0" w:color="0070C0"/>
              <w:bottom w:val="single" w:sz="12" w:space="0" w:color="0070C0"/>
              <w:right w:val="single" w:sz="12" w:space="0" w:color="0070C0"/>
            </w:tcBorders>
            <w:shd w:val="clear" w:color="000000" w:fill="FFFFFF"/>
            <w:noWrap/>
            <w:vAlign w:val="bottom"/>
            <w:hideMark/>
          </w:tcPr>
          <w:p w:rsidR="008F715D" w:rsidRPr="001142E6" w:rsidRDefault="008F715D" w:rsidP="002105A0">
            <w:pPr>
              <w:rPr>
                <w:color w:val="000000"/>
                <w:sz w:val="20"/>
                <w:szCs w:val="20"/>
              </w:rPr>
            </w:pPr>
            <w:r w:rsidRPr="001142E6">
              <w:rPr>
                <w:color w:val="000000"/>
                <w:sz w:val="20"/>
                <w:szCs w:val="20"/>
              </w:rPr>
              <w:t>Bois sciés et ouvrages</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97,3</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111,8</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113,5</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3,4%</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sz w:val="20"/>
                <w:szCs w:val="20"/>
              </w:rPr>
            </w:pPr>
            <w:r w:rsidRPr="001142E6">
              <w:rPr>
                <w:color w:val="000000"/>
                <w:sz w:val="20"/>
                <w:szCs w:val="20"/>
              </w:rPr>
              <w:t>1,5%</w:t>
            </w:r>
          </w:p>
        </w:tc>
      </w:tr>
      <w:tr w:rsidR="008F715D" w:rsidRPr="001142E6" w:rsidTr="002105A0">
        <w:trPr>
          <w:trHeight w:val="330"/>
        </w:trPr>
        <w:tc>
          <w:tcPr>
            <w:tcW w:w="2860" w:type="dxa"/>
            <w:tcBorders>
              <w:top w:val="nil"/>
              <w:left w:val="single" w:sz="12" w:space="0" w:color="0070C0"/>
              <w:bottom w:val="single" w:sz="12" w:space="0" w:color="0070C0"/>
              <w:right w:val="single" w:sz="12" w:space="0" w:color="0070C0"/>
            </w:tcBorders>
            <w:shd w:val="clear" w:color="000000" w:fill="FFFFFF"/>
            <w:noWrap/>
            <w:vAlign w:val="bottom"/>
            <w:hideMark/>
          </w:tcPr>
          <w:p w:rsidR="008F715D" w:rsidRPr="001142E6" w:rsidRDefault="008F715D" w:rsidP="002105A0">
            <w:pPr>
              <w:rPr>
                <w:color w:val="000000"/>
                <w:sz w:val="20"/>
                <w:szCs w:val="20"/>
              </w:rPr>
            </w:pPr>
            <w:r w:rsidRPr="001142E6">
              <w:rPr>
                <w:color w:val="000000"/>
                <w:sz w:val="20"/>
                <w:szCs w:val="20"/>
              </w:rPr>
              <w:t>Produits dérivés du pétrole</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171,7</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27,2</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20,3</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0,6%</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sz w:val="20"/>
                <w:szCs w:val="20"/>
              </w:rPr>
            </w:pPr>
            <w:r w:rsidRPr="001142E6">
              <w:rPr>
                <w:color w:val="000000"/>
                <w:sz w:val="20"/>
                <w:szCs w:val="20"/>
              </w:rPr>
              <w:t>-25,4%</w:t>
            </w:r>
          </w:p>
        </w:tc>
      </w:tr>
      <w:tr w:rsidR="008F715D" w:rsidRPr="001142E6" w:rsidTr="002105A0">
        <w:trPr>
          <w:trHeight w:val="330"/>
        </w:trPr>
        <w:tc>
          <w:tcPr>
            <w:tcW w:w="2860" w:type="dxa"/>
            <w:tcBorders>
              <w:top w:val="nil"/>
              <w:left w:val="single" w:sz="12" w:space="0" w:color="0070C0"/>
              <w:bottom w:val="single" w:sz="12" w:space="0" w:color="0070C0"/>
              <w:right w:val="single" w:sz="12" w:space="0" w:color="0070C0"/>
            </w:tcBorders>
            <w:shd w:val="clear" w:color="000000" w:fill="FFFFFF"/>
            <w:noWrap/>
            <w:vAlign w:val="bottom"/>
            <w:hideMark/>
          </w:tcPr>
          <w:p w:rsidR="008F715D" w:rsidRPr="001142E6" w:rsidRDefault="008F715D" w:rsidP="002105A0">
            <w:pPr>
              <w:rPr>
                <w:color w:val="000000"/>
                <w:sz w:val="20"/>
                <w:szCs w:val="20"/>
              </w:rPr>
            </w:pPr>
            <w:r w:rsidRPr="001142E6">
              <w:rPr>
                <w:color w:val="000000"/>
                <w:sz w:val="20"/>
                <w:szCs w:val="20"/>
              </w:rPr>
              <w:t>Manganèse (minerais)</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31,3</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69,3</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28,2</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0,9%</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sz w:val="20"/>
                <w:szCs w:val="20"/>
              </w:rPr>
            </w:pPr>
            <w:r w:rsidRPr="001142E6">
              <w:rPr>
                <w:color w:val="000000"/>
                <w:sz w:val="20"/>
                <w:szCs w:val="20"/>
              </w:rPr>
              <w:t>-59,3%</w:t>
            </w:r>
          </w:p>
        </w:tc>
      </w:tr>
      <w:tr w:rsidR="008F715D" w:rsidRPr="001142E6" w:rsidTr="002105A0">
        <w:trPr>
          <w:trHeight w:val="330"/>
        </w:trPr>
        <w:tc>
          <w:tcPr>
            <w:tcW w:w="2860" w:type="dxa"/>
            <w:tcBorders>
              <w:top w:val="nil"/>
              <w:left w:val="single" w:sz="12" w:space="0" w:color="0070C0"/>
              <w:bottom w:val="single" w:sz="12" w:space="0" w:color="0070C0"/>
              <w:right w:val="single" w:sz="12" w:space="0" w:color="0070C0"/>
            </w:tcBorders>
            <w:shd w:val="clear" w:color="000000" w:fill="FFFFFF"/>
            <w:noWrap/>
            <w:vAlign w:val="bottom"/>
            <w:hideMark/>
          </w:tcPr>
          <w:p w:rsidR="008F715D" w:rsidRPr="001142E6" w:rsidRDefault="008F715D" w:rsidP="002105A0">
            <w:pPr>
              <w:rPr>
                <w:color w:val="000000"/>
                <w:sz w:val="20"/>
                <w:szCs w:val="20"/>
              </w:rPr>
            </w:pPr>
            <w:r w:rsidRPr="001142E6">
              <w:rPr>
                <w:color w:val="000000"/>
                <w:sz w:val="20"/>
                <w:szCs w:val="20"/>
              </w:rPr>
              <w:t>Silico-manganèse</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0,34</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1,5</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0,1%</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sz w:val="20"/>
                <w:szCs w:val="20"/>
              </w:rPr>
            </w:pPr>
            <w:r w:rsidRPr="001142E6">
              <w:rPr>
                <w:color w:val="000000"/>
                <w:sz w:val="20"/>
                <w:szCs w:val="20"/>
              </w:rPr>
              <w:t>-</w:t>
            </w:r>
          </w:p>
        </w:tc>
      </w:tr>
      <w:tr w:rsidR="008F715D" w:rsidRPr="001142E6" w:rsidTr="002105A0">
        <w:trPr>
          <w:trHeight w:val="330"/>
        </w:trPr>
        <w:tc>
          <w:tcPr>
            <w:tcW w:w="2860" w:type="dxa"/>
            <w:tcBorders>
              <w:top w:val="nil"/>
              <w:left w:val="single" w:sz="12" w:space="0" w:color="0070C0"/>
              <w:bottom w:val="single" w:sz="12" w:space="0" w:color="0070C0"/>
              <w:right w:val="single" w:sz="12" w:space="0" w:color="0070C0"/>
            </w:tcBorders>
            <w:shd w:val="clear" w:color="000000" w:fill="FFFFFF"/>
            <w:noWrap/>
            <w:vAlign w:val="bottom"/>
            <w:hideMark/>
          </w:tcPr>
          <w:p w:rsidR="008F715D" w:rsidRPr="001142E6" w:rsidRDefault="008F715D" w:rsidP="002105A0">
            <w:pPr>
              <w:rPr>
                <w:color w:val="000000"/>
                <w:sz w:val="20"/>
                <w:szCs w:val="20"/>
              </w:rPr>
            </w:pPr>
            <w:r w:rsidRPr="001142E6">
              <w:rPr>
                <w:color w:val="000000"/>
                <w:sz w:val="20"/>
                <w:szCs w:val="20"/>
              </w:rPr>
              <w:t>Or sous forme brute</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3,3</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1,7</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0,1%</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sz w:val="20"/>
                <w:szCs w:val="20"/>
              </w:rPr>
            </w:pPr>
            <w:r w:rsidRPr="001142E6">
              <w:rPr>
                <w:color w:val="000000"/>
                <w:sz w:val="20"/>
                <w:szCs w:val="20"/>
              </w:rPr>
              <w:t>-</w:t>
            </w:r>
          </w:p>
        </w:tc>
      </w:tr>
      <w:tr w:rsidR="008F715D" w:rsidRPr="001142E6" w:rsidTr="002105A0">
        <w:trPr>
          <w:trHeight w:val="330"/>
        </w:trPr>
        <w:tc>
          <w:tcPr>
            <w:tcW w:w="2860" w:type="dxa"/>
            <w:tcBorders>
              <w:top w:val="nil"/>
              <w:left w:val="single" w:sz="12" w:space="0" w:color="0070C0"/>
              <w:bottom w:val="single" w:sz="12" w:space="0" w:color="0070C0"/>
              <w:right w:val="single" w:sz="12" w:space="0" w:color="0070C0"/>
            </w:tcBorders>
            <w:shd w:val="clear" w:color="000000" w:fill="FFFFFF"/>
            <w:noWrap/>
            <w:vAlign w:val="bottom"/>
            <w:hideMark/>
          </w:tcPr>
          <w:p w:rsidR="008F715D" w:rsidRPr="001142E6" w:rsidRDefault="008F715D" w:rsidP="002105A0">
            <w:pPr>
              <w:rPr>
                <w:color w:val="000000"/>
                <w:sz w:val="20"/>
                <w:szCs w:val="20"/>
              </w:rPr>
            </w:pPr>
            <w:r w:rsidRPr="001142E6">
              <w:rPr>
                <w:color w:val="000000"/>
                <w:sz w:val="20"/>
                <w:szCs w:val="20"/>
              </w:rPr>
              <w:t>Caoutchoucs naturels</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0,1</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4,3</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0,1%</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sz w:val="20"/>
                <w:szCs w:val="20"/>
              </w:rPr>
            </w:pPr>
            <w:r w:rsidRPr="001142E6">
              <w:rPr>
                <w:color w:val="000000"/>
                <w:sz w:val="20"/>
                <w:szCs w:val="20"/>
              </w:rPr>
              <w:t>-</w:t>
            </w:r>
          </w:p>
        </w:tc>
      </w:tr>
      <w:tr w:rsidR="008F715D" w:rsidRPr="001142E6" w:rsidTr="002105A0">
        <w:trPr>
          <w:trHeight w:val="330"/>
        </w:trPr>
        <w:tc>
          <w:tcPr>
            <w:tcW w:w="2860" w:type="dxa"/>
            <w:tcBorders>
              <w:top w:val="nil"/>
              <w:left w:val="single" w:sz="12" w:space="0" w:color="0070C0"/>
              <w:bottom w:val="single" w:sz="12" w:space="0" w:color="0070C0"/>
              <w:right w:val="single" w:sz="12" w:space="0" w:color="0070C0"/>
            </w:tcBorders>
            <w:shd w:val="clear" w:color="000000" w:fill="FFFFFF"/>
            <w:noWrap/>
            <w:vAlign w:val="bottom"/>
            <w:hideMark/>
          </w:tcPr>
          <w:p w:rsidR="008F715D" w:rsidRPr="001142E6" w:rsidRDefault="008F715D" w:rsidP="002105A0">
            <w:pPr>
              <w:rPr>
                <w:color w:val="000000"/>
                <w:sz w:val="20"/>
                <w:szCs w:val="20"/>
              </w:rPr>
            </w:pPr>
            <w:r w:rsidRPr="001142E6">
              <w:rPr>
                <w:color w:val="000000"/>
                <w:sz w:val="20"/>
                <w:szCs w:val="20"/>
              </w:rPr>
              <w:t>Poissons et produits de la pêche</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0,7</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0,3</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0,5</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0,02%</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sz w:val="20"/>
                <w:szCs w:val="20"/>
              </w:rPr>
            </w:pPr>
            <w:r w:rsidRPr="001142E6">
              <w:rPr>
                <w:color w:val="000000"/>
                <w:sz w:val="20"/>
                <w:szCs w:val="20"/>
              </w:rPr>
              <w:t>66,7%</w:t>
            </w:r>
          </w:p>
        </w:tc>
      </w:tr>
      <w:tr w:rsidR="008F715D" w:rsidRPr="001142E6" w:rsidTr="002105A0">
        <w:trPr>
          <w:trHeight w:val="330"/>
        </w:trPr>
        <w:tc>
          <w:tcPr>
            <w:tcW w:w="2860" w:type="dxa"/>
            <w:tcBorders>
              <w:top w:val="nil"/>
              <w:left w:val="single" w:sz="12" w:space="0" w:color="0070C0"/>
              <w:bottom w:val="single" w:sz="12" w:space="0" w:color="0070C0"/>
              <w:right w:val="single" w:sz="12" w:space="0" w:color="0070C0"/>
            </w:tcBorders>
            <w:shd w:val="clear" w:color="000000" w:fill="FFFFFF"/>
            <w:noWrap/>
            <w:vAlign w:val="bottom"/>
            <w:hideMark/>
          </w:tcPr>
          <w:p w:rsidR="008F715D" w:rsidRPr="001142E6" w:rsidRDefault="008F715D" w:rsidP="002105A0">
            <w:pPr>
              <w:rPr>
                <w:color w:val="000000"/>
                <w:sz w:val="20"/>
                <w:szCs w:val="20"/>
              </w:rPr>
            </w:pPr>
            <w:r w:rsidRPr="001142E6">
              <w:rPr>
                <w:color w:val="000000"/>
                <w:sz w:val="20"/>
                <w:szCs w:val="20"/>
              </w:rPr>
              <w:t>Ciments</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1,1</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3</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1,2</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0,04%</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sz w:val="20"/>
                <w:szCs w:val="20"/>
              </w:rPr>
            </w:pPr>
            <w:r w:rsidRPr="001142E6">
              <w:rPr>
                <w:color w:val="000000"/>
                <w:sz w:val="20"/>
                <w:szCs w:val="20"/>
              </w:rPr>
              <w:t>-60,0%</w:t>
            </w:r>
          </w:p>
        </w:tc>
      </w:tr>
      <w:tr w:rsidR="008F715D" w:rsidRPr="001142E6" w:rsidTr="002105A0">
        <w:trPr>
          <w:trHeight w:val="330"/>
        </w:trPr>
        <w:tc>
          <w:tcPr>
            <w:tcW w:w="2860" w:type="dxa"/>
            <w:tcBorders>
              <w:top w:val="nil"/>
              <w:left w:val="single" w:sz="12" w:space="0" w:color="0070C0"/>
              <w:bottom w:val="single" w:sz="12" w:space="0" w:color="0070C0"/>
              <w:right w:val="single" w:sz="12" w:space="0" w:color="0070C0"/>
            </w:tcBorders>
            <w:shd w:val="clear" w:color="000000" w:fill="FFFFFF"/>
            <w:noWrap/>
            <w:vAlign w:val="bottom"/>
            <w:hideMark/>
          </w:tcPr>
          <w:p w:rsidR="008F715D" w:rsidRPr="001142E6" w:rsidRDefault="008F715D" w:rsidP="002105A0">
            <w:pPr>
              <w:rPr>
                <w:color w:val="000000"/>
                <w:sz w:val="20"/>
                <w:szCs w:val="20"/>
              </w:rPr>
            </w:pPr>
            <w:r w:rsidRPr="001142E6">
              <w:rPr>
                <w:color w:val="000000"/>
                <w:sz w:val="20"/>
                <w:szCs w:val="20"/>
              </w:rPr>
              <w:t>Huile de palme</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0,1</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0,1</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0,1</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sz w:val="20"/>
                <w:szCs w:val="20"/>
              </w:rPr>
            </w:pPr>
            <w:r w:rsidRPr="001142E6">
              <w:rPr>
                <w:color w:val="000000"/>
                <w:sz w:val="20"/>
                <w:szCs w:val="20"/>
              </w:rPr>
              <w:t>-</w:t>
            </w:r>
          </w:p>
        </w:tc>
      </w:tr>
      <w:tr w:rsidR="008F715D" w:rsidRPr="001142E6" w:rsidTr="002105A0">
        <w:trPr>
          <w:trHeight w:val="330"/>
        </w:trPr>
        <w:tc>
          <w:tcPr>
            <w:tcW w:w="2860" w:type="dxa"/>
            <w:tcBorders>
              <w:top w:val="nil"/>
              <w:left w:val="single" w:sz="12" w:space="0" w:color="0070C0"/>
              <w:bottom w:val="single" w:sz="12" w:space="0" w:color="0070C0"/>
              <w:right w:val="single" w:sz="12" w:space="0" w:color="0070C0"/>
            </w:tcBorders>
            <w:shd w:val="clear" w:color="000000" w:fill="FFFFFF"/>
            <w:noWrap/>
            <w:vAlign w:val="bottom"/>
            <w:hideMark/>
          </w:tcPr>
          <w:p w:rsidR="008F715D" w:rsidRPr="001142E6" w:rsidRDefault="008F715D" w:rsidP="002105A0">
            <w:pPr>
              <w:rPr>
                <w:color w:val="000000"/>
                <w:sz w:val="20"/>
                <w:szCs w:val="20"/>
              </w:rPr>
            </w:pPr>
            <w:r w:rsidRPr="001142E6">
              <w:rPr>
                <w:color w:val="000000"/>
                <w:sz w:val="20"/>
                <w:szCs w:val="20"/>
              </w:rPr>
              <w:t>Bières</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0,3</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0,1</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0,1</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sz w:val="20"/>
                <w:szCs w:val="20"/>
              </w:rPr>
            </w:pPr>
            <w:r w:rsidRPr="001142E6">
              <w:rPr>
                <w:color w:val="000000"/>
                <w:sz w:val="20"/>
                <w:szCs w:val="20"/>
              </w:rPr>
              <w:t>-</w:t>
            </w:r>
          </w:p>
        </w:tc>
      </w:tr>
      <w:tr w:rsidR="008F715D" w:rsidRPr="001142E6" w:rsidTr="002105A0">
        <w:trPr>
          <w:trHeight w:val="330"/>
        </w:trPr>
        <w:tc>
          <w:tcPr>
            <w:tcW w:w="2860" w:type="dxa"/>
            <w:tcBorders>
              <w:top w:val="nil"/>
              <w:left w:val="single" w:sz="12" w:space="0" w:color="0070C0"/>
              <w:bottom w:val="single" w:sz="12" w:space="0" w:color="0070C0"/>
              <w:right w:val="single" w:sz="12" w:space="0" w:color="0070C0"/>
            </w:tcBorders>
            <w:shd w:val="clear" w:color="000000" w:fill="FFFFFF"/>
            <w:noWrap/>
            <w:vAlign w:val="bottom"/>
            <w:hideMark/>
          </w:tcPr>
          <w:p w:rsidR="008F715D" w:rsidRPr="001142E6" w:rsidRDefault="008F715D" w:rsidP="002105A0">
            <w:pPr>
              <w:rPr>
                <w:color w:val="000000"/>
                <w:sz w:val="20"/>
                <w:szCs w:val="20"/>
              </w:rPr>
            </w:pPr>
            <w:r w:rsidRPr="001142E6">
              <w:rPr>
                <w:color w:val="000000"/>
                <w:sz w:val="20"/>
                <w:szCs w:val="20"/>
              </w:rPr>
              <w:t>Tabacs</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0</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sz w:val="20"/>
                <w:szCs w:val="20"/>
              </w:rPr>
            </w:pPr>
            <w:r w:rsidRPr="001142E6">
              <w:rPr>
                <w:color w:val="000000"/>
                <w:sz w:val="20"/>
                <w:szCs w:val="20"/>
              </w:rPr>
              <w:t>-</w:t>
            </w:r>
          </w:p>
        </w:tc>
      </w:tr>
      <w:tr w:rsidR="008F715D" w:rsidRPr="001142E6" w:rsidTr="002105A0">
        <w:trPr>
          <w:trHeight w:val="330"/>
        </w:trPr>
        <w:tc>
          <w:tcPr>
            <w:tcW w:w="2860" w:type="dxa"/>
            <w:tcBorders>
              <w:top w:val="nil"/>
              <w:left w:val="single" w:sz="12" w:space="0" w:color="0070C0"/>
              <w:bottom w:val="single" w:sz="12" w:space="0" w:color="0070C0"/>
              <w:right w:val="single" w:sz="12" w:space="0" w:color="0070C0"/>
            </w:tcBorders>
            <w:shd w:val="clear" w:color="000000" w:fill="FFFFFF"/>
            <w:noWrap/>
            <w:vAlign w:val="bottom"/>
            <w:hideMark/>
          </w:tcPr>
          <w:p w:rsidR="008F715D" w:rsidRPr="001142E6" w:rsidRDefault="008F715D" w:rsidP="002105A0">
            <w:pPr>
              <w:rPr>
                <w:color w:val="000000"/>
                <w:sz w:val="20"/>
                <w:szCs w:val="20"/>
              </w:rPr>
            </w:pPr>
            <w:r w:rsidRPr="001142E6">
              <w:rPr>
                <w:color w:val="000000"/>
                <w:sz w:val="20"/>
                <w:szCs w:val="20"/>
              </w:rPr>
              <w:t>Autres</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605,74</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637,72</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90,8</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color w:val="000000"/>
                <w:sz w:val="20"/>
                <w:szCs w:val="20"/>
              </w:rPr>
            </w:pPr>
            <w:r w:rsidRPr="001142E6">
              <w:rPr>
                <w:color w:val="000000"/>
                <w:sz w:val="20"/>
                <w:szCs w:val="20"/>
              </w:rPr>
              <w:t>2,8%</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sz w:val="20"/>
                <w:szCs w:val="20"/>
              </w:rPr>
            </w:pPr>
            <w:r w:rsidRPr="001142E6">
              <w:rPr>
                <w:color w:val="000000"/>
                <w:sz w:val="20"/>
                <w:szCs w:val="20"/>
              </w:rPr>
              <w:t>-85,8%</w:t>
            </w:r>
          </w:p>
        </w:tc>
      </w:tr>
      <w:tr w:rsidR="008F715D" w:rsidRPr="001142E6" w:rsidTr="002105A0">
        <w:trPr>
          <w:trHeight w:val="330"/>
        </w:trPr>
        <w:tc>
          <w:tcPr>
            <w:tcW w:w="2860" w:type="dxa"/>
            <w:tcBorders>
              <w:top w:val="nil"/>
              <w:left w:val="single" w:sz="12" w:space="0" w:color="0070C0"/>
              <w:bottom w:val="single" w:sz="12" w:space="0" w:color="0070C0"/>
              <w:right w:val="single" w:sz="12" w:space="0" w:color="0070C0"/>
            </w:tcBorders>
            <w:shd w:val="clear" w:color="000000" w:fill="FFFFFF"/>
            <w:noWrap/>
            <w:vAlign w:val="bottom"/>
            <w:hideMark/>
          </w:tcPr>
          <w:p w:rsidR="008F715D" w:rsidRPr="001142E6" w:rsidRDefault="008F715D" w:rsidP="002105A0">
            <w:pPr>
              <w:rPr>
                <w:b/>
                <w:bCs/>
                <w:color w:val="000000"/>
                <w:sz w:val="20"/>
                <w:szCs w:val="20"/>
              </w:rPr>
            </w:pPr>
            <w:r w:rsidRPr="001142E6">
              <w:rPr>
                <w:b/>
                <w:bCs/>
                <w:color w:val="000000"/>
                <w:sz w:val="20"/>
                <w:szCs w:val="20"/>
              </w:rPr>
              <w:t>Exportations totales</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b/>
                <w:bCs/>
                <w:color w:val="000000"/>
                <w:sz w:val="20"/>
                <w:szCs w:val="20"/>
              </w:rPr>
            </w:pPr>
            <w:r w:rsidRPr="001142E6">
              <w:rPr>
                <w:b/>
                <w:bCs/>
                <w:color w:val="000000"/>
                <w:sz w:val="20"/>
                <w:szCs w:val="20"/>
              </w:rPr>
              <w:t>3 209,34</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b/>
                <w:bCs/>
                <w:color w:val="000000"/>
                <w:sz w:val="20"/>
                <w:szCs w:val="20"/>
              </w:rPr>
            </w:pPr>
            <w:r w:rsidRPr="001142E6">
              <w:rPr>
                <w:b/>
                <w:bCs/>
                <w:color w:val="000000"/>
                <w:sz w:val="20"/>
                <w:szCs w:val="20"/>
              </w:rPr>
              <w:t>4 431,26</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b/>
                <w:bCs/>
                <w:color w:val="000000"/>
                <w:sz w:val="20"/>
                <w:szCs w:val="20"/>
              </w:rPr>
            </w:pPr>
            <w:r w:rsidRPr="001142E6">
              <w:rPr>
                <w:b/>
                <w:bCs/>
                <w:color w:val="000000"/>
                <w:sz w:val="20"/>
                <w:szCs w:val="20"/>
              </w:rPr>
              <w:t>3 298,30</w:t>
            </w:r>
          </w:p>
        </w:tc>
        <w:tc>
          <w:tcPr>
            <w:tcW w:w="1200" w:type="dxa"/>
            <w:tcBorders>
              <w:top w:val="nil"/>
              <w:left w:val="nil"/>
              <w:bottom w:val="single" w:sz="12" w:space="0" w:color="0070C0"/>
              <w:right w:val="single" w:sz="12" w:space="0" w:color="0070C0"/>
            </w:tcBorders>
            <w:shd w:val="clear" w:color="000000" w:fill="FFFFFF"/>
            <w:noWrap/>
            <w:vAlign w:val="bottom"/>
            <w:hideMark/>
          </w:tcPr>
          <w:p w:rsidR="008F715D" w:rsidRPr="001142E6" w:rsidRDefault="008F715D" w:rsidP="002105A0">
            <w:pPr>
              <w:jc w:val="center"/>
              <w:rPr>
                <w:b/>
                <w:bCs/>
                <w:color w:val="000000"/>
                <w:sz w:val="20"/>
                <w:szCs w:val="20"/>
              </w:rPr>
            </w:pPr>
            <w:r w:rsidRPr="001142E6">
              <w:rPr>
                <w:b/>
                <w:bCs/>
                <w:color w:val="000000"/>
                <w:sz w:val="20"/>
                <w:szCs w:val="20"/>
              </w:rPr>
              <w:t>100%</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sz w:val="20"/>
                <w:szCs w:val="20"/>
              </w:rPr>
            </w:pPr>
            <w:r w:rsidRPr="001142E6">
              <w:rPr>
                <w:color w:val="000000"/>
                <w:sz w:val="20"/>
                <w:szCs w:val="20"/>
              </w:rPr>
              <w:t>-25,6%</w:t>
            </w:r>
          </w:p>
        </w:tc>
      </w:tr>
    </w:tbl>
    <w:p w:rsidR="008F715D" w:rsidRPr="00CF1C8D" w:rsidRDefault="008F715D" w:rsidP="008F715D">
      <w:pPr>
        <w:spacing w:after="120"/>
        <w:jc w:val="both"/>
        <w:rPr>
          <w:rFonts w:eastAsia="Arial Unicode MS"/>
          <w:sz w:val="20"/>
          <w:szCs w:val="20"/>
        </w:rPr>
      </w:pPr>
      <w:r w:rsidRPr="00CF1C8D">
        <w:rPr>
          <w:rFonts w:eastAsia="Arial Unicode MS"/>
          <w:sz w:val="20"/>
          <w:szCs w:val="20"/>
        </w:rPr>
        <w:t>Source : DGD</w:t>
      </w:r>
      <w:r>
        <w:rPr>
          <w:rFonts w:eastAsia="Arial Unicode MS"/>
          <w:sz w:val="20"/>
          <w:szCs w:val="20"/>
        </w:rPr>
        <w:t>DI</w:t>
      </w:r>
    </w:p>
    <w:p w:rsidR="008F715D" w:rsidRDefault="008F715D" w:rsidP="008F715D">
      <w:pPr>
        <w:jc w:val="both"/>
        <w:rPr>
          <w:rFonts w:asciiTheme="minorHAnsi" w:hAnsiTheme="minorHAnsi" w:cstheme="minorHAnsi"/>
          <w:b/>
          <w:i/>
          <w:sz w:val="22"/>
        </w:rPr>
      </w:pPr>
    </w:p>
    <w:p w:rsidR="008F715D" w:rsidRPr="0097597D" w:rsidRDefault="008F715D" w:rsidP="008F715D">
      <w:pPr>
        <w:pStyle w:val="Titre3"/>
        <w:ind w:firstLine="0"/>
        <w:rPr>
          <w:b/>
          <w:bCs/>
          <w:i/>
          <w:iCs/>
          <w:color w:val="0000FF"/>
          <w:sz w:val="24"/>
        </w:rPr>
      </w:pPr>
      <w:bookmarkStart w:id="290" w:name="_Toc462990870"/>
      <w:r w:rsidRPr="0097597D">
        <w:rPr>
          <w:b/>
          <w:bCs/>
          <w:i/>
          <w:iCs/>
          <w:color w:val="0000FF"/>
          <w:sz w:val="24"/>
        </w:rPr>
        <w:t>III.3.2 L’évolution des importations en valeur</w:t>
      </w:r>
      <w:bookmarkEnd w:id="290"/>
      <w:r w:rsidRPr="0097597D">
        <w:rPr>
          <w:b/>
          <w:bCs/>
          <w:i/>
          <w:iCs/>
          <w:color w:val="0000FF"/>
          <w:sz w:val="24"/>
        </w:rPr>
        <w:t xml:space="preserve"> </w:t>
      </w:r>
    </w:p>
    <w:p w:rsidR="008F715D" w:rsidRDefault="008F715D" w:rsidP="008F715D">
      <w:pPr>
        <w:jc w:val="both"/>
      </w:pPr>
    </w:p>
    <w:p w:rsidR="008F715D" w:rsidRDefault="008F715D" w:rsidP="008F715D">
      <w:pPr>
        <w:jc w:val="both"/>
      </w:pPr>
      <w:r w:rsidRPr="002205E6">
        <w:t>Les importations de marchandises ont augmenté de 2,1% au premier semestre 2016. Cette situation a résulté de l’augmentation des commandes de biens d’équipements (+6,9%) et des achats de bien</w:t>
      </w:r>
      <w:r>
        <w:t>s</w:t>
      </w:r>
      <w:r w:rsidRPr="002205E6">
        <w:t xml:space="preserve"> de consommation finale (+10,2).</w:t>
      </w:r>
    </w:p>
    <w:p w:rsidR="008F715D" w:rsidRDefault="008F715D" w:rsidP="008F715D">
      <w:pPr>
        <w:jc w:val="both"/>
        <w:rPr>
          <w:rFonts w:asciiTheme="minorHAnsi" w:hAnsiTheme="minorHAnsi" w:cstheme="minorHAnsi"/>
          <w:b/>
          <w:i/>
          <w:sz w:val="22"/>
        </w:rPr>
      </w:pPr>
    </w:p>
    <w:p w:rsidR="008F715D" w:rsidRPr="00B4699D" w:rsidRDefault="008F715D" w:rsidP="008F715D">
      <w:pPr>
        <w:jc w:val="both"/>
        <w:rPr>
          <w:b/>
          <w:i/>
        </w:rPr>
      </w:pPr>
      <w:r w:rsidRPr="00B4699D">
        <w:rPr>
          <w:b/>
          <w:i/>
        </w:rPr>
        <w:t>Evolution des importations en valeur  à  fin juin 2016</w:t>
      </w:r>
    </w:p>
    <w:tbl>
      <w:tblPr>
        <w:tblW w:w="9474" w:type="dxa"/>
        <w:tblInd w:w="55" w:type="dxa"/>
        <w:tblCellMar>
          <w:left w:w="70" w:type="dxa"/>
          <w:right w:w="70" w:type="dxa"/>
        </w:tblCellMar>
        <w:tblLook w:val="04A0"/>
      </w:tblPr>
      <w:tblGrid>
        <w:gridCol w:w="3474"/>
        <w:gridCol w:w="1200"/>
        <w:gridCol w:w="1200"/>
        <w:gridCol w:w="1200"/>
        <w:gridCol w:w="1200"/>
        <w:gridCol w:w="1200"/>
      </w:tblGrid>
      <w:tr w:rsidR="008F715D" w:rsidRPr="001142E6" w:rsidTr="002105A0">
        <w:trPr>
          <w:trHeight w:val="330"/>
        </w:trPr>
        <w:tc>
          <w:tcPr>
            <w:tcW w:w="3474" w:type="dxa"/>
            <w:vMerge w:val="restart"/>
            <w:tcBorders>
              <w:top w:val="single" w:sz="12" w:space="0" w:color="0070C0"/>
              <w:left w:val="single" w:sz="12" w:space="0" w:color="0070C0"/>
              <w:right w:val="single" w:sz="12" w:space="0" w:color="0070C0"/>
            </w:tcBorders>
            <w:shd w:val="clear" w:color="auto" w:fill="auto"/>
            <w:noWrap/>
            <w:vAlign w:val="bottom"/>
            <w:hideMark/>
          </w:tcPr>
          <w:p w:rsidR="008F715D" w:rsidRPr="008F0C3E" w:rsidRDefault="008F715D" w:rsidP="002105A0">
            <w:pPr>
              <w:jc w:val="center"/>
              <w:rPr>
                <w:b/>
                <w:bCs/>
                <w:i/>
                <w:iCs/>
                <w:color w:val="000000"/>
              </w:rPr>
            </w:pPr>
            <w:r w:rsidRPr="008F0C3E">
              <w:rPr>
                <w:b/>
                <w:bCs/>
                <w:i/>
                <w:iCs/>
                <w:color w:val="000000"/>
              </w:rPr>
              <w:t>En milliards de FCFA</w:t>
            </w:r>
          </w:p>
        </w:tc>
        <w:tc>
          <w:tcPr>
            <w:tcW w:w="3600" w:type="dxa"/>
            <w:gridSpan w:val="3"/>
            <w:tcBorders>
              <w:top w:val="single" w:sz="12" w:space="0" w:color="0070C0"/>
              <w:left w:val="nil"/>
              <w:bottom w:val="single" w:sz="12" w:space="0" w:color="0070C0"/>
              <w:right w:val="single" w:sz="12" w:space="0" w:color="0070C0"/>
            </w:tcBorders>
            <w:shd w:val="clear" w:color="auto" w:fill="auto"/>
            <w:noWrap/>
            <w:vAlign w:val="bottom"/>
          </w:tcPr>
          <w:p w:rsidR="008F715D" w:rsidRPr="008F0C3E" w:rsidRDefault="008F715D" w:rsidP="002105A0">
            <w:pPr>
              <w:jc w:val="center"/>
              <w:rPr>
                <w:b/>
                <w:bCs/>
                <w:color w:val="000000"/>
              </w:rPr>
            </w:pPr>
            <w:r>
              <w:rPr>
                <w:b/>
                <w:bCs/>
                <w:color w:val="000000"/>
              </w:rPr>
              <w:t>Premier semestre</w:t>
            </w:r>
          </w:p>
        </w:tc>
        <w:tc>
          <w:tcPr>
            <w:tcW w:w="1200" w:type="dxa"/>
            <w:vMerge w:val="restart"/>
            <w:tcBorders>
              <w:top w:val="single" w:sz="12" w:space="0" w:color="0070C0"/>
              <w:left w:val="nil"/>
              <w:right w:val="single" w:sz="12" w:space="0" w:color="0070C0"/>
            </w:tcBorders>
            <w:shd w:val="clear" w:color="auto" w:fill="auto"/>
            <w:noWrap/>
            <w:vAlign w:val="bottom"/>
            <w:hideMark/>
          </w:tcPr>
          <w:p w:rsidR="008F715D" w:rsidRPr="008F0C3E" w:rsidRDefault="008F715D" w:rsidP="002105A0">
            <w:pPr>
              <w:jc w:val="center"/>
              <w:rPr>
                <w:b/>
                <w:bCs/>
                <w:color w:val="000000"/>
              </w:rPr>
            </w:pPr>
            <w:r w:rsidRPr="008F0C3E">
              <w:rPr>
                <w:b/>
                <w:bCs/>
                <w:color w:val="000000"/>
              </w:rPr>
              <w:t>Var 15/14</w:t>
            </w:r>
          </w:p>
        </w:tc>
        <w:tc>
          <w:tcPr>
            <w:tcW w:w="1200" w:type="dxa"/>
            <w:vMerge w:val="restart"/>
            <w:tcBorders>
              <w:top w:val="single" w:sz="12" w:space="0" w:color="0070C0"/>
              <w:left w:val="nil"/>
              <w:right w:val="single" w:sz="12" w:space="0" w:color="0070C0"/>
            </w:tcBorders>
            <w:shd w:val="clear" w:color="auto" w:fill="auto"/>
            <w:noWrap/>
            <w:vAlign w:val="bottom"/>
            <w:hideMark/>
          </w:tcPr>
          <w:p w:rsidR="008F715D" w:rsidRPr="008F0C3E" w:rsidRDefault="008F715D" w:rsidP="002105A0">
            <w:pPr>
              <w:jc w:val="center"/>
              <w:rPr>
                <w:b/>
                <w:bCs/>
                <w:color w:val="000000"/>
              </w:rPr>
            </w:pPr>
            <w:r w:rsidRPr="008F0C3E">
              <w:rPr>
                <w:b/>
                <w:bCs/>
                <w:color w:val="000000"/>
              </w:rPr>
              <w:t>Var 16/15</w:t>
            </w:r>
          </w:p>
        </w:tc>
      </w:tr>
      <w:tr w:rsidR="008F715D" w:rsidRPr="001142E6" w:rsidTr="002105A0">
        <w:trPr>
          <w:trHeight w:val="330"/>
        </w:trPr>
        <w:tc>
          <w:tcPr>
            <w:tcW w:w="3474" w:type="dxa"/>
            <w:vMerge/>
            <w:tcBorders>
              <w:left w:val="single" w:sz="12" w:space="0" w:color="0070C0"/>
              <w:bottom w:val="single" w:sz="12" w:space="0" w:color="0070C0"/>
              <w:right w:val="single" w:sz="12" w:space="0" w:color="0070C0"/>
            </w:tcBorders>
            <w:shd w:val="clear" w:color="auto" w:fill="31849B" w:themeFill="accent5" w:themeFillShade="BF"/>
            <w:noWrap/>
            <w:vAlign w:val="bottom"/>
          </w:tcPr>
          <w:p w:rsidR="008F715D" w:rsidRPr="008F0C3E" w:rsidRDefault="008F715D" w:rsidP="002105A0">
            <w:pPr>
              <w:jc w:val="center"/>
              <w:rPr>
                <w:b/>
                <w:bCs/>
                <w:i/>
                <w:iCs/>
                <w:color w:val="000000"/>
              </w:rPr>
            </w:pPr>
          </w:p>
        </w:tc>
        <w:tc>
          <w:tcPr>
            <w:tcW w:w="1200" w:type="dxa"/>
            <w:tcBorders>
              <w:top w:val="single" w:sz="12" w:space="0" w:color="0070C0"/>
              <w:left w:val="nil"/>
              <w:bottom w:val="single" w:sz="12" w:space="0" w:color="0070C0"/>
              <w:right w:val="single" w:sz="12" w:space="0" w:color="0070C0"/>
            </w:tcBorders>
            <w:shd w:val="clear" w:color="auto" w:fill="auto"/>
            <w:noWrap/>
            <w:vAlign w:val="bottom"/>
          </w:tcPr>
          <w:p w:rsidR="008F715D" w:rsidRPr="008F0C3E" w:rsidRDefault="008F715D" w:rsidP="002105A0">
            <w:pPr>
              <w:jc w:val="center"/>
              <w:rPr>
                <w:b/>
                <w:bCs/>
                <w:color w:val="000000"/>
              </w:rPr>
            </w:pPr>
            <w:r w:rsidRPr="008F0C3E">
              <w:rPr>
                <w:b/>
                <w:bCs/>
                <w:color w:val="000000"/>
              </w:rPr>
              <w:t>2014</w:t>
            </w:r>
          </w:p>
        </w:tc>
        <w:tc>
          <w:tcPr>
            <w:tcW w:w="1200" w:type="dxa"/>
            <w:tcBorders>
              <w:top w:val="single" w:sz="12" w:space="0" w:color="0070C0"/>
              <w:left w:val="nil"/>
              <w:bottom w:val="single" w:sz="12" w:space="0" w:color="0070C0"/>
              <w:right w:val="single" w:sz="12" w:space="0" w:color="0070C0"/>
            </w:tcBorders>
            <w:shd w:val="clear" w:color="auto" w:fill="auto"/>
            <w:noWrap/>
            <w:vAlign w:val="bottom"/>
          </w:tcPr>
          <w:p w:rsidR="008F715D" w:rsidRPr="008F0C3E" w:rsidRDefault="008F715D" w:rsidP="002105A0">
            <w:pPr>
              <w:jc w:val="center"/>
              <w:rPr>
                <w:b/>
                <w:bCs/>
                <w:color w:val="000000"/>
              </w:rPr>
            </w:pPr>
            <w:r w:rsidRPr="008F0C3E">
              <w:rPr>
                <w:b/>
                <w:bCs/>
                <w:color w:val="000000"/>
              </w:rPr>
              <w:t>2015</w:t>
            </w:r>
          </w:p>
        </w:tc>
        <w:tc>
          <w:tcPr>
            <w:tcW w:w="1200" w:type="dxa"/>
            <w:tcBorders>
              <w:top w:val="single" w:sz="12" w:space="0" w:color="0070C0"/>
              <w:left w:val="nil"/>
              <w:bottom w:val="single" w:sz="12" w:space="0" w:color="0070C0"/>
              <w:right w:val="single" w:sz="12" w:space="0" w:color="0070C0"/>
            </w:tcBorders>
            <w:shd w:val="clear" w:color="auto" w:fill="auto"/>
            <w:noWrap/>
            <w:vAlign w:val="bottom"/>
          </w:tcPr>
          <w:p w:rsidR="008F715D" w:rsidRPr="008F0C3E" w:rsidRDefault="008F715D" w:rsidP="002105A0">
            <w:pPr>
              <w:jc w:val="center"/>
              <w:rPr>
                <w:b/>
                <w:bCs/>
                <w:color w:val="000000"/>
              </w:rPr>
            </w:pPr>
            <w:r w:rsidRPr="008F0C3E">
              <w:rPr>
                <w:b/>
                <w:bCs/>
                <w:color w:val="000000"/>
              </w:rPr>
              <w:t>2016</w:t>
            </w:r>
          </w:p>
        </w:tc>
        <w:tc>
          <w:tcPr>
            <w:tcW w:w="1200" w:type="dxa"/>
            <w:vMerge/>
            <w:tcBorders>
              <w:left w:val="nil"/>
              <w:bottom w:val="single" w:sz="12" w:space="0" w:color="0070C0"/>
              <w:right w:val="single" w:sz="12" w:space="0" w:color="0070C0"/>
            </w:tcBorders>
            <w:shd w:val="clear" w:color="auto" w:fill="31849B" w:themeFill="accent5" w:themeFillShade="BF"/>
            <w:noWrap/>
            <w:vAlign w:val="bottom"/>
          </w:tcPr>
          <w:p w:rsidR="008F715D" w:rsidRPr="008F0C3E" w:rsidRDefault="008F715D" w:rsidP="002105A0">
            <w:pPr>
              <w:jc w:val="center"/>
              <w:rPr>
                <w:b/>
                <w:bCs/>
                <w:color w:val="000000"/>
              </w:rPr>
            </w:pPr>
          </w:p>
        </w:tc>
        <w:tc>
          <w:tcPr>
            <w:tcW w:w="1200" w:type="dxa"/>
            <w:vMerge/>
            <w:tcBorders>
              <w:left w:val="nil"/>
              <w:bottom w:val="single" w:sz="12" w:space="0" w:color="0070C0"/>
              <w:right w:val="single" w:sz="12" w:space="0" w:color="0070C0"/>
            </w:tcBorders>
            <w:shd w:val="clear" w:color="auto" w:fill="31849B" w:themeFill="accent5" w:themeFillShade="BF"/>
            <w:noWrap/>
            <w:vAlign w:val="bottom"/>
          </w:tcPr>
          <w:p w:rsidR="008F715D" w:rsidRPr="008F0C3E" w:rsidRDefault="008F715D" w:rsidP="002105A0">
            <w:pPr>
              <w:jc w:val="center"/>
              <w:rPr>
                <w:b/>
                <w:bCs/>
                <w:color w:val="000000"/>
              </w:rPr>
            </w:pPr>
          </w:p>
        </w:tc>
      </w:tr>
      <w:tr w:rsidR="008F715D" w:rsidRPr="001142E6" w:rsidTr="002105A0">
        <w:trPr>
          <w:trHeight w:val="315"/>
        </w:trPr>
        <w:tc>
          <w:tcPr>
            <w:tcW w:w="3474" w:type="dxa"/>
            <w:tcBorders>
              <w:top w:val="nil"/>
              <w:left w:val="single" w:sz="12" w:space="0" w:color="0070C0"/>
              <w:bottom w:val="nil"/>
              <w:right w:val="single" w:sz="12" w:space="0" w:color="0070C0"/>
            </w:tcBorders>
            <w:shd w:val="clear" w:color="auto" w:fill="auto"/>
            <w:noWrap/>
            <w:vAlign w:val="bottom"/>
            <w:hideMark/>
          </w:tcPr>
          <w:p w:rsidR="008F715D" w:rsidRPr="001142E6" w:rsidRDefault="008F715D" w:rsidP="002105A0">
            <w:pPr>
              <w:rPr>
                <w:color w:val="000000"/>
              </w:rPr>
            </w:pPr>
            <w:r w:rsidRPr="001142E6">
              <w:rPr>
                <w:color w:val="000000"/>
              </w:rPr>
              <w:t>BIENS DE CONSOMMATION</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242,2</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245,1</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270,1</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1,2%</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10,2%</w:t>
            </w:r>
          </w:p>
        </w:tc>
      </w:tr>
      <w:tr w:rsidR="008F715D" w:rsidRPr="001142E6" w:rsidTr="002105A0">
        <w:trPr>
          <w:trHeight w:val="300"/>
        </w:trPr>
        <w:tc>
          <w:tcPr>
            <w:tcW w:w="3474" w:type="dxa"/>
            <w:tcBorders>
              <w:top w:val="nil"/>
              <w:left w:val="single" w:sz="12" w:space="0" w:color="0070C0"/>
              <w:bottom w:val="nil"/>
              <w:right w:val="single" w:sz="12" w:space="0" w:color="0070C0"/>
            </w:tcBorders>
            <w:shd w:val="clear" w:color="auto" w:fill="auto"/>
            <w:noWrap/>
            <w:vAlign w:val="bottom"/>
            <w:hideMark/>
          </w:tcPr>
          <w:p w:rsidR="008F715D" w:rsidRPr="001142E6" w:rsidRDefault="008F715D" w:rsidP="002105A0">
            <w:pPr>
              <w:rPr>
                <w:color w:val="000000"/>
              </w:rPr>
            </w:pPr>
            <w:r w:rsidRPr="001142E6">
              <w:rPr>
                <w:color w:val="000000"/>
              </w:rPr>
              <w:t xml:space="preserve">          dont produits alimentaires</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140</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142,4</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128</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1,7%</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-10,1%</w:t>
            </w:r>
          </w:p>
        </w:tc>
      </w:tr>
      <w:tr w:rsidR="008F715D" w:rsidRPr="001142E6" w:rsidTr="002105A0">
        <w:trPr>
          <w:trHeight w:val="315"/>
        </w:trPr>
        <w:tc>
          <w:tcPr>
            <w:tcW w:w="3474" w:type="dxa"/>
            <w:tcBorders>
              <w:top w:val="nil"/>
              <w:left w:val="single" w:sz="12" w:space="0" w:color="0070C0"/>
              <w:bottom w:val="nil"/>
              <w:right w:val="single" w:sz="12" w:space="0" w:color="0070C0"/>
            </w:tcBorders>
            <w:shd w:val="clear" w:color="auto" w:fill="auto"/>
            <w:noWrap/>
            <w:vAlign w:val="bottom"/>
            <w:hideMark/>
          </w:tcPr>
          <w:p w:rsidR="008F715D" w:rsidRPr="001142E6" w:rsidRDefault="008F715D" w:rsidP="002105A0">
            <w:pPr>
              <w:rPr>
                <w:color w:val="000000"/>
              </w:rPr>
            </w:pPr>
            <w:r w:rsidRPr="001142E6">
              <w:rPr>
                <w:color w:val="000000"/>
              </w:rPr>
              <w:t xml:space="preserve">          et boissons</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13,2</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10,8</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10,2</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-18,2%</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-5,6%</w:t>
            </w:r>
          </w:p>
        </w:tc>
      </w:tr>
      <w:tr w:rsidR="008F715D" w:rsidRPr="001142E6" w:rsidTr="002105A0">
        <w:trPr>
          <w:trHeight w:val="330"/>
        </w:trPr>
        <w:tc>
          <w:tcPr>
            <w:tcW w:w="3474" w:type="dxa"/>
            <w:tcBorders>
              <w:top w:val="single" w:sz="12" w:space="0" w:color="0070C0"/>
              <w:left w:val="single" w:sz="12" w:space="0" w:color="0070C0"/>
              <w:bottom w:val="single" w:sz="12" w:space="0" w:color="0070C0"/>
              <w:right w:val="single" w:sz="12" w:space="0" w:color="0070C0"/>
            </w:tcBorders>
            <w:shd w:val="clear" w:color="auto" w:fill="auto"/>
            <w:noWrap/>
            <w:vAlign w:val="bottom"/>
            <w:hideMark/>
          </w:tcPr>
          <w:p w:rsidR="008F715D" w:rsidRPr="001142E6" w:rsidRDefault="008F715D" w:rsidP="002105A0">
            <w:pPr>
              <w:rPr>
                <w:color w:val="000000"/>
              </w:rPr>
            </w:pPr>
            <w:r w:rsidRPr="001142E6">
              <w:rPr>
                <w:color w:val="000000"/>
              </w:rPr>
              <w:t>BIENS D'ÉQUIPEMENT</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1562,7</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1560,6</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1667,6</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-0,1%</w:t>
            </w:r>
          </w:p>
        </w:tc>
        <w:tc>
          <w:tcPr>
            <w:tcW w:w="1200" w:type="dxa"/>
            <w:tcBorders>
              <w:top w:val="single" w:sz="12" w:space="0" w:color="0070C0"/>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6,9%</w:t>
            </w:r>
          </w:p>
        </w:tc>
      </w:tr>
      <w:tr w:rsidR="008F715D" w:rsidRPr="001142E6" w:rsidTr="002105A0">
        <w:trPr>
          <w:trHeight w:val="315"/>
        </w:trPr>
        <w:tc>
          <w:tcPr>
            <w:tcW w:w="3474" w:type="dxa"/>
            <w:tcBorders>
              <w:top w:val="nil"/>
              <w:left w:val="single" w:sz="12" w:space="0" w:color="0070C0"/>
              <w:bottom w:val="nil"/>
              <w:right w:val="single" w:sz="12" w:space="0" w:color="0070C0"/>
            </w:tcBorders>
            <w:shd w:val="clear" w:color="auto" w:fill="auto"/>
            <w:noWrap/>
            <w:vAlign w:val="bottom"/>
            <w:hideMark/>
          </w:tcPr>
          <w:p w:rsidR="008F715D" w:rsidRPr="001142E6" w:rsidRDefault="008F715D" w:rsidP="002105A0">
            <w:pPr>
              <w:rPr>
                <w:color w:val="000000"/>
              </w:rPr>
            </w:pPr>
            <w:r w:rsidRPr="001142E6">
              <w:rPr>
                <w:color w:val="000000"/>
              </w:rPr>
              <w:t>BIENS INTERMÉDIAIRES</w:t>
            </w:r>
          </w:p>
        </w:tc>
        <w:tc>
          <w:tcPr>
            <w:tcW w:w="1200" w:type="dxa"/>
            <w:tcBorders>
              <w:top w:val="nil"/>
              <w:left w:val="nil"/>
              <w:bottom w:val="nil"/>
              <w:right w:val="single" w:sz="12" w:space="0" w:color="0070C0"/>
            </w:tcBorders>
            <w:shd w:val="clear" w:color="auto" w:fill="auto"/>
            <w:noWrap/>
            <w:hideMark/>
          </w:tcPr>
          <w:p w:rsidR="008F715D" w:rsidRPr="001142E6" w:rsidRDefault="008F715D" w:rsidP="002105A0">
            <w:pPr>
              <w:jc w:val="center"/>
              <w:rPr>
                <w:color w:val="000000"/>
              </w:rPr>
            </w:pPr>
            <w:r w:rsidRPr="001142E6">
              <w:rPr>
                <w:color w:val="000000"/>
              </w:rPr>
              <w:t>413,4</w:t>
            </w:r>
          </w:p>
        </w:tc>
        <w:tc>
          <w:tcPr>
            <w:tcW w:w="1200" w:type="dxa"/>
            <w:tcBorders>
              <w:top w:val="nil"/>
              <w:left w:val="nil"/>
              <w:bottom w:val="nil"/>
              <w:right w:val="single" w:sz="12" w:space="0" w:color="0070C0"/>
            </w:tcBorders>
            <w:shd w:val="clear" w:color="auto" w:fill="auto"/>
            <w:noWrap/>
            <w:hideMark/>
          </w:tcPr>
          <w:p w:rsidR="008F715D" w:rsidRPr="001142E6" w:rsidRDefault="008F715D" w:rsidP="002105A0">
            <w:pPr>
              <w:jc w:val="center"/>
              <w:rPr>
                <w:color w:val="000000"/>
              </w:rPr>
            </w:pPr>
            <w:r w:rsidRPr="001142E6">
              <w:rPr>
                <w:color w:val="000000"/>
              </w:rPr>
              <w:t>370,3</w:t>
            </w:r>
          </w:p>
        </w:tc>
        <w:tc>
          <w:tcPr>
            <w:tcW w:w="1200" w:type="dxa"/>
            <w:tcBorders>
              <w:top w:val="nil"/>
              <w:left w:val="nil"/>
              <w:bottom w:val="nil"/>
              <w:right w:val="single" w:sz="12" w:space="0" w:color="0070C0"/>
            </w:tcBorders>
            <w:shd w:val="clear" w:color="auto" w:fill="auto"/>
            <w:noWrap/>
            <w:hideMark/>
          </w:tcPr>
          <w:p w:rsidR="008F715D" w:rsidRPr="001142E6" w:rsidRDefault="008F715D" w:rsidP="002105A0">
            <w:pPr>
              <w:jc w:val="center"/>
              <w:rPr>
                <w:color w:val="000000"/>
              </w:rPr>
            </w:pPr>
            <w:r w:rsidRPr="001142E6">
              <w:rPr>
                <w:color w:val="000000"/>
              </w:rPr>
              <w:t>284</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-10,4%</w:t>
            </w:r>
          </w:p>
        </w:tc>
        <w:tc>
          <w:tcPr>
            <w:tcW w:w="1200" w:type="dxa"/>
            <w:tcBorders>
              <w:top w:val="nil"/>
              <w:left w:val="nil"/>
              <w:bottom w:val="nil"/>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-23,3%</w:t>
            </w:r>
          </w:p>
        </w:tc>
      </w:tr>
      <w:tr w:rsidR="008F715D" w:rsidRPr="001142E6" w:rsidTr="002105A0">
        <w:trPr>
          <w:trHeight w:val="315"/>
        </w:trPr>
        <w:tc>
          <w:tcPr>
            <w:tcW w:w="3474" w:type="dxa"/>
            <w:tcBorders>
              <w:top w:val="nil"/>
              <w:left w:val="single" w:sz="12" w:space="0" w:color="0070C0"/>
              <w:bottom w:val="single" w:sz="12" w:space="0" w:color="0070C0"/>
              <w:right w:val="single" w:sz="12" w:space="0" w:color="0070C0"/>
            </w:tcBorders>
            <w:shd w:val="clear" w:color="auto" w:fill="auto"/>
            <w:noWrap/>
            <w:vAlign w:val="bottom"/>
            <w:hideMark/>
          </w:tcPr>
          <w:p w:rsidR="008F715D" w:rsidRPr="001142E6" w:rsidRDefault="008F715D" w:rsidP="002105A0">
            <w:pPr>
              <w:rPr>
                <w:color w:val="000000"/>
              </w:rPr>
            </w:pPr>
            <w:r w:rsidRPr="001142E6">
              <w:rPr>
                <w:color w:val="000000"/>
              </w:rPr>
              <w:t xml:space="preserve">         dont énergie</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187,9</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165,7</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72,8</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-11,8%</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-56,1%</w:t>
            </w:r>
          </w:p>
        </w:tc>
      </w:tr>
      <w:tr w:rsidR="008F715D" w:rsidRPr="001142E6" w:rsidTr="002105A0">
        <w:trPr>
          <w:trHeight w:val="330"/>
        </w:trPr>
        <w:tc>
          <w:tcPr>
            <w:tcW w:w="3474" w:type="dxa"/>
            <w:tcBorders>
              <w:top w:val="nil"/>
              <w:left w:val="single" w:sz="12" w:space="0" w:color="0070C0"/>
              <w:bottom w:val="single" w:sz="12" w:space="0" w:color="0070C0"/>
              <w:right w:val="single" w:sz="12" w:space="0" w:color="0070C0"/>
            </w:tcBorders>
            <w:shd w:val="clear" w:color="auto" w:fill="auto"/>
            <w:noWrap/>
            <w:vAlign w:val="bottom"/>
            <w:hideMark/>
          </w:tcPr>
          <w:p w:rsidR="008F715D" w:rsidRPr="001142E6" w:rsidRDefault="008F715D" w:rsidP="002105A0">
            <w:pPr>
              <w:rPr>
                <w:b/>
                <w:bCs/>
                <w:color w:val="000000"/>
              </w:rPr>
            </w:pPr>
            <w:r w:rsidRPr="001142E6">
              <w:rPr>
                <w:b/>
                <w:bCs/>
                <w:color w:val="000000"/>
              </w:rPr>
              <w:t>Importations totales</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b/>
                <w:bCs/>
                <w:color w:val="000000"/>
              </w:rPr>
            </w:pPr>
            <w:r w:rsidRPr="001142E6">
              <w:rPr>
                <w:b/>
                <w:bCs/>
                <w:color w:val="000000"/>
              </w:rPr>
              <w:t>2 218,30</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b/>
                <w:bCs/>
                <w:color w:val="000000"/>
              </w:rPr>
            </w:pPr>
            <w:r w:rsidRPr="001142E6">
              <w:rPr>
                <w:b/>
                <w:bCs/>
                <w:color w:val="000000"/>
              </w:rPr>
              <w:t>2 176,00</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b/>
                <w:bCs/>
                <w:color w:val="000000"/>
              </w:rPr>
            </w:pPr>
            <w:r w:rsidRPr="001142E6">
              <w:rPr>
                <w:b/>
                <w:bCs/>
                <w:color w:val="000000"/>
              </w:rPr>
              <w:t>2 221,70</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-1,9%</w:t>
            </w:r>
          </w:p>
        </w:tc>
        <w:tc>
          <w:tcPr>
            <w:tcW w:w="1200" w:type="dxa"/>
            <w:tcBorders>
              <w:top w:val="nil"/>
              <w:left w:val="nil"/>
              <w:bottom w:val="single" w:sz="12" w:space="0" w:color="0070C0"/>
              <w:right w:val="single" w:sz="12" w:space="0" w:color="0070C0"/>
            </w:tcBorders>
            <w:shd w:val="clear" w:color="auto" w:fill="auto"/>
            <w:noWrap/>
            <w:vAlign w:val="bottom"/>
            <w:hideMark/>
          </w:tcPr>
          <w:p w:rsidR="008F715D" w:rsidRPr="001142E6" w:rsidRDefault="008F715D" w:rsidP="002105A0">
            <w:pPr>
              <w:jc w:val="center"/>
              <w:rPr>
                <w:color w:val="000000"/>
              </w:rPr>
            </w:pPr>
            <w:r w:rsidRPr="001142E6">
              <w:rPr>
                <w:color w:val="000000"/>
              </w:rPr>
              <w:t>2,1%</w:t>
            </w:r>
          </w:p>
        </w:tc>
      </w:tr>
    </w:tbl>
    <w:p w:rsidR="008F715D" w:rsidRPr="00CF1C8D" w:rsidRDefault="008F715D" w:rsidP="008F715D">
      <w:pPr>
        <w:spacing w:after="120"/>
        <w:jc w:val="both"/>
        <w:rPr>
          <w:rFonts w:eastAsia="Arial Unicode MS"/>
          <w:sz w:val="20"/>
          <w:szCs w:val="20"/>
        </w:rPr>
      </w:pPr>
      <w:r w:rsidRPr="00CF1C8D">
        <w:rPr>
          <w:rFonts w:eastAsia="Arial Unicode MS"/>
          <w:sz w:val="20"/>
          <w:szCs w:val="20"/>
        </w:rPr>
        <w:t>Source : DGD</w:t>
      </w:r>
      <w:r>
        <w:rPr>
          <w:rFonts w:eastAsia="Arial Unicode MS"/>
          <w:sz w:val="20"/>
          <w:szCs w:val="20"/>
        </w:rPr>
        <w:t>DI</w:t>
      </w:r>
    </w:p>
    <w:p w:rsidR="008F715D" w:rsidRPr="00765C13" w:rsidRDefault="008F715D" w:rsidP="008F715D">
      <w:pPr>
        <w:rPr>
          <w:sz w:val="28"/>
          <w:szCs w:val="28"/>
        </w:rPr>
      </w:pPr>
    </w:p>
    <w:p w:rsidR="008F715D" w:rsidRDefault="008F715D" w:rsidP="008F715D">
      <w:pPr>
        <w:jc w:val="both"/>
      </w:pPr>
      <w:r>
        <w:t>La hausse des importations de biens d’équipements est tirée par l’augmentation des achats du matériel destiné à la navigation fluviale, de meubles et de mobilier médico-chirurgical destiné à l’équipement des hôpitaux.</w:t>
      </w:r>
    </w:p>
    <w:p w:rsidR="008F715D" w:rsidRDefault="008F715D" w:rsidP="008F715D">
      <w:pPr>
        <w:jc w:val="both"/>
      </w:pPr>
    </w:p>
    <w:p w:rsidR="008F715D" w:rsidRDefault="008F715D" w:rsidP="008F715D">
      <w:pPr>
        <w:jc w:val="both"/>
      </w:pPr>
    </w:p>
    <w:p w:rsidR="008F715D" w:rsidRPr="00393CDB" w:rsidRDefault="008F715D" w:rsidP="008F715D">
      <w:pPr>
        <w:pStyle w:val="Titre2"/>
        <w:spacing w:after="240"/>
        <w:rPr>
          <w:b/>
          <w:bCs/>
          <w:i w:val="0"/>
          <w:color w:val="0000FF"/>
          <w:sz w:val="24"/>
        </w:rPr>
      </w:pPr>
      <w:bookmarkStart w:id="291" w:name="_Toc462990871"/>
      <w:r w:rsidRPr="00393CDB">
        <w:rPr>
          <w:b/>
          <w:bCs/>
          <w:i w:val="0"/>
          <w:color w:val="0000FF"/>
          <w:sz w:val="24"/>
        </w:rPr>
        <w:lastRenderedPageBreak/>
        <w:t>III.4 LA DETTE PUBLIQUE</w:t>
      </w:r>
      <w:bookmarkEnd w:id="283"/>
      <w:bookmarkEnd w:id="284"/>
      <w:bookmarkEnd w:id="285"/>
      <w:bookmarkEnd w:id="286"/>
      <w:bookmarkEnd w:id="287"/>
      <w:bookmarkEnd w:id="288"/>
      <w:bookmarkEnd w:id="291"/>
    </w:p>
    <w:p w:rsidR="008F715D" w:rsidRDefault="008F715D" w:rsidP="008F715D">
      <w:pPr>
        <w:spacing w:after="240"/>
        <w:jc w:val="both"/>
      </w:pPr>
      <w:r w:rsidRPr="00BD21BC">
        <w:t>L’analyse conjoncturelle de la dette publique s’articule principalement autour de trois points : le règlement, les tirages et l’encours de la dette.</w:t>
      </w:r>
      <w:r>
        <w:t xml:space="preserve"> Au premier semestre 2016, la situation de la dette publique s’est caractérisée par une hausse de 14,9% des règlements et de 39,2% des décaissements. Ainsi, </w:t>
      </w:r>
      <w:r w:rsidRPr="000306B6">
        <w:t>le stock de la dette publique a augmenté</w:t>
      </w:r>
      <w:r>
        <w:t xml:space="preserve"> de </w:t>
      </w:r>
      <w:r w:rsidRPr="00946095">
        <w:t>5,5</w:t>
      </w:r>
      <w:r w:rsidRPr="00326AE2">
        <w:t>%</w:t>
      </w:r>
      <w:r>
        <w:t xml:space="preserve"> par rapport à juin 2015, </w:t>
      </w:r>
      <w:r w:rsidRPr="000306B6">
        <w:t xml:space="preserve">pour </w:t>
      </w:r>
      <w:r>
        <w:t xml:space="preserve">se situer à </w:t>
      </w:r>
      <w:r w:rsidRPr="00946095">
        <w:t>3259,</w:t>
      </w:r>
      <w:r>
        <w:t>4 milliards de F</w:t>
      </w:r>
      <w:r w:rsidRPr="000306B6">
        <w:t>CFA</w:t>
      </w:r>
      <w:r>
        <w:t xml:space="preserve"> à fin 2016</w:t>
      </w:r>
      <w:r w:rsidRPr="000306B6">
        <w:t>.</w:t>
      </w:r>
    </w:p>
    <w:p w:rsidR="008F715D" w:rsidRPr="0097597D" w:rsidRDefault="008F715D" w:rsidP="008F715D">
      <w:pPr>
        <w:pStyle w:val="Titre3"/>
        <w:spacing w:after="240"/>
        <w:ind w:firstLine="0"/>
        <w:rPr>
          <w:b/>
          <w:bCs/>
          <w:i/>
          <w:iCs/>
          <w:color w:val="0000FF"/>
          <w:sz w:val="24"/>
        </w:rPr>
      </w:pPr>
      <w:bookmarkStart w:id="292" w:name="_Toc462990872"/>
      <w:r w:rsidRPr="0097597D">
        <w:rPr>
          <w:b/>
          <w:bCs/>
          <w:i/>
          <w:iCs/>
          <w:color w:val="0000FF"/>
          <w:sz w:val="24"/>
        </w:rPr>
        <w:t>III.4.1. L’évolution du règlement</w:t>
      </w:r>
      <w:bookmarkEnd w:id="292"/>
      <w:r w:rsidRPr="0097597D">
        <w:rPr>
          <w:b/>
          <w:bCs/>
          <w:i/>
          <w:iCs/>
          <w:color w:val="0000FF"/>
          <w:sz w:val="24"/>
        </w:rPr>
        <w:t xml:space="preserve"> </w:t>
      </w:r>
    </w:p>
    <w:p w:rsidR="008F715D" w:rsidRDefault="008F715D" w:rsidP="008F715D">
      <w:pPr>
        <w:spacing w:after="240"/>
        <w:jc w:val="both"/>
      </w:pPr>
      <w:r w:rsidRPr="002205E6">
        <w:t xml:space="preserve">A fin juin 2016, le Gabon a continué à honorer ses engagements. Le volume des règlements s’est établi à </w:t>
      </w:r>
      <w:r>
        <w:t>264,3</w:t>
      </w:r>
      <w:r w:rsidRPr="002205E6">
        <w:t xml:space="preserve"> milliards de FCFA, soit un</w:t>
      </w:r>
      <w:r>
        <w:t>e progression</w:t>
      </w:r>
      <w:r w:rsidRPr="002205E6">
        <w:t xml:space="preserve"> de </w:t>
      </w:r>
      <w:r>
        <w:t>14,9</w:t>
      </w:r>
      <w:r w:rsidRPr="002205E6">
        <w:t>% par rapport à la même période une année plus tôt. Ce</w:t>
      </w:r>
      <w:r>
        <w:t>tte</w:t>
      </w:r>
      <w:r w:rsidRPr="002205E6">
        <w:t xml:space="preserve"> </w:t>
      </w:r>
      <w:r>
        <w:t>hausse</w:t>
      </w:r>
      <w:r w:rsidRPr="002205E6">
        <w:t xml:space="preserve"> s’explique par </w:t>
      </w:r>
      <w:r>
        <w:t xml:space="preserve">l’accroissement </w:t>
      </w:r>
      <w:r w:rsidRPr="002205E6">
        <w:t>des paiements de la dette</w:t>
      </w:r>
      <w:r>
        <w:t xml:space="preserve"> intérieure</w:t>
      </w:r>
      <w:r w:rsidRPr="002205E6">
        <w:t xml:space="preserve"> alors que les règlements de la dette </w:t>
      </w:r>
      <w:r>
        <w:t>ex</w:t>
      </w:r>
      <w:r w:rsidRPr="002205E6">
        <w:t xml:space="preserve">térieure ont été en </w:t>
      </w:r>
      <w:r>
        <w:t>progression</w:t>
      </w:r>
      <w:r w:rsidRPr="002205E6">
        <w:t>.</w:t>
      </w:r>
      <w:r w:rsidRPr="00D002CF">
        <w:t xml:space="preserve"> </w:t>
      </w:r>
    </w:p>
    <w:p w:rsidR="008F715D" w:rsidRDefault="008F715D" w:rsidP="008F715D">
      <w:pPr>
        <w:spacing w:after="240"/>
        <w:jc w:val="both"/>
      </w:pPr>
      <w:r>
        <w:t>L</w:t>
      </w:r>
      <w:r w:rsidRPr="002205E6">
        <w:t xml:space="preserve">e paiement de la dette intérieure a connu une hausse de </w:t>
      </w:r>
      <w:r>
        <w:t>69,9</w:t>
      </w:r>
      <w:r w:rsidRPr="002205E6">
        <w:t xml:space="preserve">% (à </w:t>
      </w:r>
      <w:r>
        <w:t>37</w:t>
      </w:r>
      <w:r w:rsidRPr="002205E6">
        <w:t xml:space="preserve"> milliards) et a été  principalement consacré au règlement de la dette bancaire (+</w:t>
      </w:r>
      <w:r>
        <w:t>17,3</w:t>
      </w:r>
      <w:r w:rsidRPr="002205E6">
        <w:t xml:space="preserve">%) et moratoire </w:t>
      </w:r>
      <w:r w:rsidRPr="002205E6">
        <w:rPr>
          <w:color w:val="000000" w:themeColor="text1"/>
        </w:rPr>
        <w:t>(+</w:t>
      </w:r>
      <w:r>
        <w:rPr>
          <w:color w:val="000000" w:themeColor="text1"/>
        </w:rPr>
        <w:t>1209,4</w:t>
      </w:r>
      <w:r w:rsidRPr="002205E6">
        <w:rPr>
          <w:color w:val="000000" w:themeColor="text1"/>
        </w:rPr>
        <w:t xml:space="preserve">% à </w:t>
      </w:r>
      <w:r>
        <w:rPr>
          <w:color w:val="000000" w:themeColor="text1"/>
        </w:rPr>
        <w:t>3</w:t>
      </w:r>
      <w:r w:rsidRPr="002205E6">
        <w:rPr>
          <w:color w:val="000000" w:themeColor="text1"/>
        </w:rPr>
        <w:t>4 milliards de FCFA), c</w:t>
      </w:r>
      <w:r w:rsidRPr="002205E6">
        <w:t>ompar</w:t>
      </w:r>
      <w:r w:rsidRPr="002205E6">
        <w:rPr>
          <w:b/>
        </w:rPr>
        <w:t>a</w:t>
      </w:r>
      <w:r w:rsidRPr="002205E6">
        <w:t>tivement à la même période en 2015.</w:t>
      </w:r>
    </w:p>
    <w:p w:rsidR="008F715D" w:rsidRDefault="008F715D" w:rsidP="008F715D">
      <w:pPr>
        <w:spacing w:after="240"/>
        <w:jc w:val="both"/>
      </w:pPr>
      <w:r w:rsidRPr="002205E6">
        <w:t>En revanche</w:t>
      </w:r>
      <w:r>
        <w:t>,</w:t>
      </w:r>
      <w:r w:rsidRPr="00D002CF">
        <w:t xml:space="preserve"> </w:t>
      </w:r>
      <w:r>
        <w:t>l</w:t>
      </w:r>
      <w:r w:rsidRPr="00D002CF">
        <w:t xml:space="preserve">e règlement de la dette extérieure a </w:t>
      </w:r>
      <w:r>
        <w:t>diminué de 1,5% par rapport à 2015. Ce recul résulte de la diminution du règlement de la dette envers le marché financier international (-24,9%) malgré la hausse.de la dette bilatérale (+47,9%) et multilatérale (+3,1%).</w:t>
      </w:r>
    </w:p>
    <w:p w:rsidR="008F715D" w:rsidRPr="001F6E52" w:rsidRDefault="008F715D" w:rsidP="008F715D">
      <w:pPr>
        <w:spacing w:after="240"/>
        <w:rPr>
          <w:b/>
          <w:bCs/>
          <w:i/>
          <w:iCs/>
          <w:sz w:val="22"/>
          <w:szCs w:val="22"/>
        </w:rPr>
      </w:pPr>
      <w:r w:rsidRPr="001F6E52">
        <w:rPr>
          <w:b/>
          <w:bCs/>
          <w:i/>
          <w:iCs/>
          <w:sz w:val="22"/>
          <w:szCs w:val="22"/>
        </w:rPr>
        <w:t>Evolution du règlement de la dette</w:t>
      </w:r>
    </w:p>
    <w:tbl>
      <w:tblPr>
        <w:tblW w:w="9160" w:type="dxa"/>
        <w:tblInd w:w="40" w:type="dxa"/>
        <w:tblCellMar>
          <w:left w:w="70" w:type="dxa"/>
          <w:right w:w="70" w:type="dxa"/>
        </w:tblCellMar>
        <w:tblLook w:val="04A0"/>
      </w:tblPr>
      <w:tblGrid>
        <w:gridCol w:w="3347"/>
        <w:gridCol w:w="1440"/>
        <w:gridCol w:w="1440"/>
        <w:gridCol w:w="1515"/>
        <w:gridCol w:w="1418"/>
      </w:tblGrid>
      <w:tr w:rsidR="008F715D" w:rsidRPr="001F6E52" w:rsidTr="002105A0">
        <w:trPr>
          <w:trHeight w:val="330"/>
        </w:trPr>
        <w:tc>
          <w:tcPr>
            <w:tcW w:w="3347" w:type="dxa"/>
            <w:vMerge w:val="restart"/>
            <w:tcBorders>
              <w:top w:val="single" w:sz="12" w:space="0" w:color="0070C0"/>
              <w:left w:val="single" w:sz="12" w:space="0" w:color="0070C0"/>
              <w:bottom w:val="single" w:sz="12" w:space="0" w:color="0070C0"/>
              <w:right w:val="single" w:sz="12" w:space="0" w:color="0070C0"/>
            </w:tcBorders>
            <w:shd w:val="clear" w:color="auto" w:fill="auto"/>
            <w:vAlign w:val="center"/>
            <w:hideMark/>
          </w:tcPr>
          <w:p w:rsidR="008F715D" w:rsidRPr="001F6E52" w:rsidRDefault="008F715D" w:rsidP="002105A0">
            <w:pPr>
              <w:rPr>
                <w:color w:val="000000"/>
                <w:sz w:val="20"/>
                <w:szCs w:val="20"/>
              </w:rPr>
            </w:pPr>
            <w:r w:rsidRPr="001F6E52">
              <w:rPr>
                <w:color w:val="000000"/>
                <w:sz w:val="20"/>
                <w:szCs w:val="20"/>
              </w:rPr>
              <w:t>(En milliards de FCFA)</w:t>
            </w:r>
          </w:p>
        </w:tc>
        <w:tc>
          <w:tcPr>
            <w:tcW w:w="2880" w:type="dxa"/>
            <w:gridSpan w:val="2"/>
            <w:tcBorders>
              <w:top w:val="single" w:sz="12" w:space="0" w:color="0070C0"/>
              <w:left w:val="nil"/>
              <w:bottom w:val="single" w:sz="12" w:space="0" w:color="0070C0"/>
              <w:right w:val="single" w:sz="12" w:space="0" w:color="0070C0"/>
            </w:tcBorders>
            <w:shd w:val="clear" w:color="auto" w:fill="auto"/>
            <w:vAlign w:val="center"/>
            <w:hideMark/>
          </w:tcPr>
          <w:p w:rsidR="008F715D" w:rsidRPr="001F6E52" w:rsidRDefault="008F715D" w:rsidP="002105A0">
            <w:pPr>
              <w:jc w:val="center"/>
              <w:rPr>
                <w:color w:val="000000"/>
                <w:sz w:val="20"/>
                <w:szCs w:val="20"/>
              </w:rPr>
            </w:pPr>
            <w:r>
              <w:rPr>
                <w:color w:val="000000"/>
                <w:sz w:val="20"/>
                <w:szCs w:val="20"/>
              </w:rPr>
              <w:t>Premier semestre</w:t>
            </w:r>
          </w:p>
        </w:tc>
        <w:tc>
          <w:tcPr>
            <w:tcW w:w="1515" w:type="dxa"/>
            <w:vMerge w:val="restart"/>
            <w:tcBorders>
              <w:top w:val="single" w:sz="12" w:space="0" w:color="0070C0"/>
              <w:left w:val="single" w:sz="12" w:space="0" w:color="0070C0"/>
              <w:bottom w:val="single" w:sz="12" w:space="0" w:color="0070C0"/>
              <w:right w:val="single" w:sz="12" w:space="0" w:color="0070C0"/>
            </w:tcBorders>
            <w:shd w:val="clear" w:color="auto" w:fill="auto"/>
            <w:vAlign w:val="center"/>
            <w:hideMark/>
          </w:tcPr>
          <w:p w:rsidR="008F715D" w:rsidRPr="001F6E52" w:rsidRDefault="008F715D" w:rsidP="002105A0">
            <w:pPr>
              <w:jc w:val="center"/>
              <w:rPr>
                <w:color w:val="000000"/>
                <w:sz w:val="20"/>
                <w:szCs w:val="20"/>
              </w:rPr>
            </w:pPr>
            <w:r w:rsidRPr="001F6E52">
              <w:rPr>
                <w:color w:val="000000"/>
                <w:sz w:val="20"/>
                <w:szCs w:val="20"/>
              </w:rPr>
              <w:t>Variations (%)</w:t>
            </w:r>
          </w:p>
        </w:tc>
        <w:tc>
          <w:tcPr>
            <w:tcW w:w="1418" w:type="dxa"/>
            <w:vMerge w:val="restart"/>
            <w:tcBorders>
              <w:top w:val="single" w:sz="12" w:space="0" w:color="0070C0"/>
              <w:left w:val="single" w:sz="12" w:space="0" w:color="0070C0"/>
              <w:bottom w:val="single" w:sz="12" w:space="0" w:color="0070C0"/>
              <w:right w:val="single" w:sz="12" w:space="0" w:color="0070C0"/>
            </w:tcBorders>
            <w:shd w:val="clear" w:color="auto" w:fill="auto"/>
            <w:vAlign w:val="center"/>
            <w:hideMark/>
          </w:tcPr>
          <w:p w:rsidR="008F715D" w:rsidRPr="001F6E52" w:rsidRDefault="008F715D" w:rsidP="002105A0">
            <w:pPr>
              <w:jc w:val="center"/>
              <w:rPr>
                <w:color w:val="000000"/>
                <w:sz w:val="20"/>
                <w:szCs w:val="20"/>
              </w:rPr>
            </w:pPr>
            <w:r w:rsidRPr="001F6E52">
              <w:rPr>
                <w:color w:val="000000"/>
                <w:sz w:val="20"/>
                <w:szCs w:val="20"/>
              </w:rPr>
              <w:t>Poids 2016</w:t>
            </w:r>
          </w:p>
        </w:tc>
      </w:tr>
      <w:tr w:rsidR="008F715D" w:rsidRPr="001F6E52" w:rsidTr="002105A0">
        <w:trPr>
          <w:trHeight w:val="330"/>
        </w:trPr>
        <w:tc>
          <w:tcPr>
            <w:tcW w:w="3347"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1F6E52" w:rsidRDefault="008F715D" w:rsidP="002105A0">
            <w:pPr>
              <w:rPr>
                <w:color w:val="000000"/>
                <w:sz w:val="20"/>
                <w:szCs w:val="20"/>
              </w:rPr>
            </w:pPr>
          </w:p>
        </w:tc>
        <w:tc>
          <w:tcPr>
            <w:tcW w:w="1440" w:type="dxa"/>
            <w:tcBorders>
              <w:top w:val="nil"/>
              <w:left w:val="nil"/>
              <w:bottom w:val="single" w:sz="12" w:space="0" w:color="0070C0"/>
              <w:right w:val="single" w:sz="12" w:space="0" w:color="0070C0"/>
            </w:tcBorders>
            <w:shd w:val="clear" w:color="auto" w:fill="auto"/>
            <w:vAlign w:val="center"/>
            <w:hideMark/>
          </w:tcPr>
          <w:p w:rsidR="008F715D" w:rsidRPr="001F6E52" w:rsidRDefault="008F715D" w:rsidP="002105A0">
            <w:pPr>
              <w:jc w:val="center"/>
              <w:rPr>
                <w:color w:val="000000"/>
                <w:sz w:val="20"/>
                <w:szCs w:val="20"/>
              </w:rPr>
            </w:pPr>
            <w:r w:rsidRPr="001F6E52">
              <w:rPr>
                <w:color w:val="000000"/>
                <w:sz w:val="20"/>
                <w:szCs w:val="20"/>
              </w:rPr>
              <w:t>2015</w:t>
            </w:r>
          </w:p>
        </w:tc>
        <w:tc>
          <w:tcPr>
            <w:tcW w:w="1440" w:type="dxa"/>
            <w:tcBorders>
              <w:top w:val="nil"/>
              <w:left w:val="nil"/>
              <w:bottom w:val="single" w:sz="12" w:space="0" w:color="0070C0"/>
              <w:right w:val="single" w:sz="12" w:space="0" w:color="0070C0"/>
            </w:tcBorders>
            <w:shd w:val="clear" w:color="auto" w:fill="auto"/>
            <w:vAlign w:val="center"/>
            <w:hideMark/>
          </w:tcPr>
          <w:p w:rsidR="008F715D" w:rsidRPr="001F6E52" w:rsidRDefault="008F715D" w:rsidP="002105A0">
            <w:pPr>
              <w:jc w:val="center"/>
              <w:rPr>
                <w:color w:val="000000"/>
                <w:sz w:val="20"/>
                <w:szCs w:val="20"/>
              </w:rPr>
            </w:pPr>
            <w:r w:rsidRPr="001F6E52">
              <w:rPr>
                <w:color w:val="000000"/>
                <w:sz w:val="20"/>
                <w:szCs w:val="20"/>
              </w:rPr>
              <w:t>2016</w:t>
            </w:r>
          </w:p>
        </w:tc>
        <w:tc>
          <w:tcPr>
            <w:tcW w:w="1515"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1F6E52" w:rsidRDefault="008F715D" w:rsidP="002105A0">
            <w:pPr>
              <w:jc w:val="center"/>
              <w:rPr>
                <w:color w:val="000000"/>
                <w:sz w:val="20"/>
                <w:szCs w:val="20"/>
              </w:rPr>
            </w:pPr>
          </w:p>
        </w:tc>
        <w:tc>
          <w:tcPr>
            <w:tcW w:w="1418"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1F6E52" w:rsidRDefault="008F715D" w:rsidP="002105A0">
            <w:pPr>
              <w:jc w:val="center"/>
              <w:rPr>
                <w:color w:val="000000"/>
                <w:sz w:val="20"/>
                <w:szCs w:val="20"/>
              </w:rPr>
            </w:pPr>
          </w:p>
        </w:tc>
      </w:tr>
      <w:tr w:rsidR="008F715D" w:rsidRPr="001F6E52" w:rsidTr="002105A0">
        <w:trPr>
          <w:trHeight w:val="480"/>
        </w:trPr>
        <w:tc>
          <w:tcPr>
            <w:tcW w:w="3347" w:type="dxa"/>
            <w:tcBorders>
              <w:top w:val="nil"/>
              <w:left w:val="single" w:sz="12" w:space="0" w:color="0070C0"/>
              <w:bottom w:val="single" w:sz="12" w:space="0" w:color="0070C0"/>
              <w:right w:val="single" w:sz="12" w:space="0" w:color="0070C0"/>
            </w:tcBorders>
            <w:shd w:val="clear" w:color="000000" w:fill="FFFFFF"/>
            <w:vAlign w:val="center"/>
            <w:hideMark/>
          </w:tcPr>
          <w:p w:rsidR="008F715D" w:rsidRPr="001F6E52" w:rsidRDefault="008F715D" w:rsidP="002105A0">
            <w:pPr>
              <w:rPr>
                <w:b/>
                <w:bCs/>
                <w:color w:val="000000"/>
                <w:sz w:val="20"/>
                <w:szCs w:val="20"/>
              </w:rPr>
            </w:pPr>
            <w:r w:rsidRPr="001F6E52">
              <w:rPr>
                <w:b/>
                <w:bCs/>
                <w:color w:val="000000"/>
                <w:sz w:val="20"/>
                <w:szCs w:val="20"/>
              </w:rPr>
              <w:t>Dette extérieure</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Pr="001F6E52" w:rsidRDefault="008F715D" w:rsidP="002105A0">
            <w:pPr>
              <w:jc w:val="center"/>
              <w:rPr>
                <w:b/>
                <w:bCs/>
                <w:color w:val="000000"/>
                <w:sz w:val="20"/>
                <w:szCs w:val="20"/>
              </w:rPr>
            </w:pPr>
            <w:r w:rsidRPr="001F6E52">
              <w:rPr>
                <w:b/>
                <w:bCs/>
                <w:color w:val="000000"/>
                <w:sz w:val="20"/>
                <w:szCs w:val="20"/>
              </w:rPr>
              <w:t>177,1</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b/>
                <w:bCs/>
                <w:color w:val="000000"/>
                <w:sz w:val="20"/>
                <w:szCs w:val="20"/>
              </w:rPr>
            </w:pPr>
            <w:r>
              <w:rPr>
                <w:b/>
                <w:bCs/>
                <w:color w:val="000000"/>
                <w:sz w:val="20"/>
                <w:szCs w:val="20"/>
              </w:rPr>
              <w:t>174,5</w:t>
            </w:r>
          </w:p>
        </w:tc>
        <w:tc>
          <w:tcPr>
            <w:tcW w:w="1515"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b/>
                <w:bCs/>
                <w:color w:val="000000"/>
                <w:sz w:val="20"/>
                <w:szCs w:val="20"/>
              </w:rPr>
            </w:pPr>
            <w:r>
              <w:rPr>
                <w:b/>
                <w:bCs/>
                <w:color w:val="000000"/>
                <w:sz w:val="20"/>
                <w:szCs w:val="20"/>
              </w:rPr>
              <w:t>-1,5%</w:t>
            </w:r>
          </w:p>
        </w:tc>
        <w:tc>
          <w:tcPr>
            <w:tcW w:w="1418"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b/>
                <w:bCs/>
                <w:color w:val="000000"/>
                <w:sz w:val="20"/>
                <w:szCs w:val="20"/>
              </w:rPr>
            </w:pPr>
            <w:r>
              <w:rPr>
                <w:b/>
                <w:bCs/>
                <w:color w:val="000000"/>
                <w:sz w:val="20"/>
                <w:szCs w:val="20"/>
              </w:rPr>
              <w:t>66,0%</w:t>
            </w:r>
          </w:p>
        </w:tc>
      </w:tr>
      <w:tr w:rsidR="008F715D" w:rsidRPr="001F6E52" w:rsidTr="002105A0">
        <w:trPr>
          <w:trHeight w:val="375"/>
        </w:trPr>
        <w:tc>
          <w:tcPr>
            <w:tcW w:w="3347" w:type="dxa"/>
            <w:tcBorders>
              <w:top w:val="nil"/>
              <w:left w:val="single" w:sz="12" w:space="0" w:color="0070C0"/>
              <w:bottom w:val="single" w:sz="12" w:space="0" w:color="0070C0"/>
              <w:right w:val="single" w:sz="12" w:space="0" w:color="0070C0"/>
            </w:tcBorders>
            <w:shd w:val="clear" w:color="000000" w:fill="FFFFFF"/>
            <w:vAlign w:val="center"/>
            <w:hideMark/>
          </w:tcPr>
          <w:p w:rsidR="008F715D" w:rsidRPr="001F6E52" w:rsidRDefault="008F715D" w:rsidP="002105A0">
            <w:pPr>
              <w:ind w:left="708"/>
              <w:rPr>
                <w:color w:val="000000"/>
                <w:sz w:val="20"/>
                <w:szCs w:val="20"/>
              </w:rPr>
            </w:pPr>
            <w:r w:rsidRPr="001F6E52">
              <w:rPr>
                <w:color w:val="000000"/>
                <w:sz w:val="20"/>
                <w:szCs w:val="20"/>
              </w:rPr>
              <w:t>Multilatérale</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Pr="001F6E52" w:rsidRDefault="008F715D" w:rsidP="002105A0">
            <w:pPr>
              <w:jc w:val="center"/>
              <w:rPr>
                <w:color w:val="000000"/>
                <w:sz w:val="20"/>
                <w:szCs w:val="20"/>
              </w:rPr>
            </w:pPr>
            <w:r w:rsidRPr="001F6E52">
              <w:rPr>
                <w:color w:val="000000"/>
                <w:sz w:val="20"/>
                <w:szCs w:val="20"/>
              </w:rPr>
              <w:t>16,8</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17,3</w:t>
            </w:r>
          </w:p>
        </w:tc>
        <w:tc>
          <w:tcPr>
            <w:tcW w:w="1515"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3,1%</w:t>
            </w:r>
          </w:p>
        </w:tc>
        <w:tc>
          <w:tcPr>
            <w:tcW w:w="1418"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6,6%</w:t>
            </w:r>
          </w:p>
        </w:tc>
      </w:tr>
      <w:tr w:rsidR="008F715D" w:rsidRPr="001F6E52" w:rsidTr="002105A0">
        <w:trPr>
          <w:trHeight w:val="330"/>
        </w:trPr>
        <w:tc>
          <w:tcPr>
            <w:tcW w:w="3347" w:type="dxa"/>
            <w:tcBorders>
              <w:top w:val="nil"/>
              <w:left w:val="single" w:sz="12" w:space="0" w:color="0070C0"/>
              <w:bottom w:val="single" w:sz="12" w:space="0" w:color="0070C0"/>
              <w:right w:val="single" w:sz="12" w:space="0" w:color="0070C0"/>
            </w:tcBorders>
            <w:shd w:val="clear" w:color="000000" w:fill="FFFFFF"/>
            <w:vAlign w:val="center"/>
            <w:hideMark/>
          </w:tcPr>
          <w:p w:rsidR="008F715D" w:rsidRPr="001F6E52" w:rsidRDefault="008F715D" w:rsidP="002105A0">
            <w:pPr>
              <w:ind w:left="708"/>
              <w:rPr>
                <w:color w:val="000000"/>
                <w:sz w:val="20"/>
                <w:szCs w:val="20"/>
              </w:rPr>
            </w:pPr>
            <w:r w:rsidRPr="001F6E52">
              <w:rPr>
                <w:color w:val="000000"/>
                <w:sz w:val="20"/>
                <w:szCs w:val="20"/>
              </w:rPr>
              <w:t>Bilatérale</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Pr="001F6E52" w:rsidRDefault="008F715D" w:rsidP="002105A0">
            <w:pPr>
              <w:jc w:val="center"/>
              <w:rPr>
                <w:color w:val="000000"/>
                <w:sz w:val="20"/>
                <w:szCs w:val="20"/>
              </w:rPr>
            </w:pPr>
            <w:r w:rsidRPr="001F6E52">
              <w:rPr>
                <w:color w:val="000000"/>
                <w:sz w:val="20"/>
                <w:szCs w:val="20"/>
              </w:rPr>
              <w:t>22,3</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33,0</w:t>
            </w:r>
          </w:p>
        </w:tc>
        <w:tc>
          <w:tcPr>
            <w:tcW w:w="1515"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47,9%</w:t>
            </w:r>
          </w:p>
        </w:tc>
        <w:tc>
          <w:tcPr>
            <w:tcW w:w="1418"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12,5%</w:t>
            </w:r>
          </w:p>
        </w:tc>
      </w:tr>
      <w:tr w:rsidR="008F715D" w:rsidRPr="001F6E52" w:rsidTr="002105A0">
        <w:trPr>
          <w:trHeight w:val="360"/>
        </w:trPr>
        <w:tc>
          <w:tcPr>
            <w:tcW w:w="3347" w:type="dxa"/>
            <w:tcBorders>
              <w:top w:val="nil"/>
              <w:left w:val="single" w:sz="12" w:space="0" w:color="0070C0"/>
              <w:bottom w:val="single" w:sz="12" w:space="0" w:color="0070C0"/>
              <w:right w:val="single" w:sz="12" w:space="0" w:color="0070C0"/>
            </w:tcBorders>
            <w:shd w:val="clear" w:color="000000" w:fill="FFFFFF"/>
            <w:vAlign w:val="center"/>
            <w:hideMark/>
          </w:tcPr>
          <w:p w:rsidR="008F715D" w:rsidRPr="001F6E52" w:rsidRDefault="008F715D" w:rsidP="002105A0">
            <w:pPr>
              <w:ind w:left="708"/>
              <w:rPr>
                <w:color w:val="000000"/>
                <w:sz w:val="20"/>
                <w:szCs w:val="20"/>
              </w:rPr>
            </w:pPr>
            <w:r w:rsidRPr="001F6E52">
              <w:rPr>
                <w:color w:val="000000"/>
                <w:sz w:val="20"/>
                <w:szCs w:val="20"/>
              </w:rPr>
              <w:t>Commerciale</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Pr="001F6E52" w:rsidRDefault="008F715D" w:rsidP="002105A0">
            <w:pPr>
              <w:jc w:val="center"/>
              <w:rPr>
                <w:color w:val="000000"/>
                <w:sz w:val="20"/>
                <w:szCs w:val="20"/>
              </w:rPr>
            </w:pPr>
            <w:r w:rsidRPr="001F6E52">
              <w:rPr>
                <w:color w:val="000000"/>
                <w:sz w:val="20"/>
                <w:szCs w:val="20"/>
              </w:rPr>
              <w:t>80,8</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81,2</w:t>
            </w:r>
          </w:p>
        </w:tc>
        <w:tc>
          <w:tcPr>
            <w:tcW w:w="1515"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0,5%</w:t>
            </w:r>
          </w:p>
        </w:tc>
        <w:tc>
          <w:tcPr>
            <w:tcW w:w="1418"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30,7%</w:t>
            </w:r>
          </w:p>
        </w:tc>
      </w:tr>
      <w:tr w:rsidR="008F715D" w:rsidRPr="001F6E52" w:rsidTr="002105A0">
        <w:trPr>
          <w:trHeight w:val="360"/>
        </w:trPr>
        <w:tc>
          <w:tcPr>
            <w:tcW w:w="3347" w:type="dxa"/>
            <w:tcBorders>
              <w:top w:val="nil"/>
              <w:left w:val="single" w:sz="12" w:space="0" w:color="0070C0"/>
              <w:bottom w:val="single" w:sz="12" w:space="0" w:color="0070C0"/>
              <w:right w:val="single" w:sz="12" w:space="0" w:color="0070C0"/>
            </w:tcBorders>
            <w:shd w:val="clear" w:color="000000" w:fill="FFFFFF"/>
            <w:vAlign w:val="center"/>
            <w:hideMark/>
          </w:tcPr>
          <w:p w:rsidR="008F715D" w:rsidRPr="001F6E52" w:rsidRDefault="008F715D" w:rsidP="002105A0">
            <w:pPr>
              <w:ind w:left="708"/>
              <w:rPr>
                <w:color w:val="000000"/>
                <w:sz w:val="20"/>
                <w:szCs w:val="20"/>
              </w:rPr>
            </w:pPr>
            <w:r w:rsidRPr="001F6E52">
              <w:rPr>
                <w:color w:val="000000"/>
                <w:sz w:val="20"/>
                <w:szCs w:val="20"/>
              </w:rPr>
              <w:t>Marché financier International</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Pr="001F6E52" w:rsidRDefault="008F715D" w:rsidP="002105A0">
            <w:pPr>
              <w:jc w:val="center"/>
              <w:rPr>
                <w:color w:val="000000"/>
                <w:sz w:val="20"/>
                <w:szCs w:val="20"/>
              </w:rPr>
            </w:pPr>
            <w:r w:rsidRPr="001F6E52">
              <w:rPr>
                <w:color w:val="000000"/>
                <w:sz w:val="20"/>
                <w:szCs w:val="20"/>
              </w:rPr>
              <w:t>57,2</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42,9</w:t>
            </w:r>
          </w:p>
        </w:tc>
        <w:tc>
          <w:tcPr>
            <w:tcW w:w="1515"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-24,9%</w:t>
            </w:r>
          </w:p>
        </w:tc>
        <w:tc>
          <w:tcPr>
            <w:tcW w:w="1418"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16,2%</w:t>
            </w:r>
          </w:p>
        </w:tc>
      </w:tr>
      <w:tr w:rsidR="008F715D" w:rsidRPr="001F6E52" w:rsidTr="002105A0">
        <w:trPr>
          <w:trHeight w:val="390"/>
        </w:trPr>
        <w:tc>
          <w:tcPr>
            <w:tcW w:w="3347" w:type="dxa"/>
            <w:tcBorders>
              <w:top w:val="nil"/>
              <w:left w:val="single" w:sz="12" w:space="0" w:color="0070C0"/>
              <w:bottom w:val="single" w:sz="12" w:space="0" w:color="0070C0"/>
              <w:right w:val="single" w:sz="12" w:space="0" w:color="0070C0"/>
            </w:tcBorders>
            <w:shd w:val="clear" w:color="000000" w:fill="FFFFFF"/>
            <w:vAlign w:val="center"/>
            <w:hideMark/>
          </w:tcPr>
          <w:p w:rsidR="008F715D" w:rsidRPr="001F6E52" w:rsidRDefault="008F715D" w:rsidP="002105A0">
            <w:pPr>
              <w:rPr>
                <w:b/>
                <w:bCs/>
                <w:color w:val="000000"/>
                <w:sz w:val="20"/>
                <w:szCs w:val="20"/>
              </w:rPr>
            </w:pPr>
            <w:r w:rsidRPr="001F6E52">
              <w:rPr>
                <w:b/>
                <w:bCs/>
                <w:color w:val="000000"/>
                <w:sz w:val="20"/>
                <w:szCs w:val="20"/>
              </w:rPr>
              <w:t>Dette intérieure</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Pr="001F6E52" w:rsidRDefault="008F715D" w:rsidP="002105A0">
            <w:pPr>
              <w:jc w:val="center"/>
              <w:rPr>
                <w:b/>
                <w:bCs/>
                <w:color w:val="000000"/>
                <w:sz w:val="20"/>
                <w:szCs w:val="20"/>
              </w:rPr>
            </w:pPr>
            <w:r w:rsidRPr="001F6E52">
              <w:rPr>
                <w:b/>
                <w:bCs/>
                <w:color w:val="000000"/>
                <w:sz w:val="20"/>
                <w:szCs w:val="20"/>
              </w:rPr>
              <w:t>52,9</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b/>
                <w:bCs/>
                <w:color w:val="000000"/>
                <w:sz w:val="20"/>
                <w:szCs w:val="20"/>
              </w:rPr>
            </w:pPr>
            <w:r>
              <w:rPr>
                <w:b/>
                <w:bCs/>
                <w:color w:val="000000"/>
                <w:sz w:val="20"/>
                <w:szCs w:val="20"/>
              </w:rPr>
              <w:t>89,9</w:t>
            </w:r>
          </w:p>
        </w:tc>
        <w:tc>
          <w:tcPr>
            <w:tcW w:w="1515"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b/>
                <w:bCs/>
                <w:color w:val="000000"/>
                <w:sz w:val="20"/>
                <w:szCs w:val="20"/>
              </w:rPr>
            </w:pPr>
            <w:r>
              <w:rPr>
                <w:b/>
                <w:bCs/>
                <w:color w:val="000000"/>
                <w:sz w:val="20"/>
                <w:szCs w:val="20"/>
              </w:rPr>
              <w:t>69,9%</w:t>
            </w:r>
          </w:p>
        </w:tc>
        <w:tc>
          <w:tcPr>
            <w:tcW w:w="1418"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b/>
                <w:bCs/>
                <w:color w:val="000000"/>
                <w:sz w:val="20"/>
                <w:szCs w:val="20"/>
              </w:rPr>
            </w:pPr>
            <w:r>
              <w:rPr>
                <w:b/>
                <w:bCs/>
                <w:color w:val="000000"/>
                <w:sz w:val="20"/>
                <w:szCs w:val="20"/>
              </w:rPr>
              <w:t>34,0%</w:t>
            </w:r>
          </w:p>
        </w:tc>
      </w:tr>
      <w:tr w:rsidR="008F715D" w:rsidRPr="001F6E52" w:rsidTr="002105A0">
        <w:trPr>
          <w:trHeight w:val="330"/>
        </w:trPr>
        <w:tc>
          <w:tcPr>
            <w:tcW w:w="3347" w:type="dxa"/>
            <w:tcBorders>
              <w:top w:val="nil"/>
              <w:left w:val="single" w:sz="12" w:space="0" w:color="0070C0"/>
              <w:bottom w:val="single" w:sz="12" w:space="0" w:color="0070C0"/>
              <w:right w:val="single" w:sz="12" w:space="0" w:color="0070C0"/>
            </w:tcBorders>
            <w:shd w:val="clear" w:color="000000" w:fill="FFFFFF"/>
            <w:vAlign w:val="center"/>
            <w:hideMark/>
          </w:tcPr>
          <w:p w:rsidR="008F715D" w:rsidRPr="001F6E52" w:rsidRDefault="008F715D" w:rsidP="002105A0">
            <w:pPr>
              <w:ind w:left="708"/>
              <w:rPr>
                <w:color w:val="000000"/>
                <w:sz w:val="20"/>
                <w:szCs w:val="20"/>
              </w:rPr>
            </w:pPr>
            <w:r w:rsidRPr="001F6E52">
              <w:rPr>
                <w:color w:val="000000"/>
                <w:sz w:val="20"/>
                <w:szCs w:val="20"/>
              </w:rPr>
              <w:t>Bancaire</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Pr="001F6E52" w:rsidRDefault="008F715D" w:rsidP="002105A0">
            <w:pPr>
              <w:jc w:val="center"/>
              <w:rPr>
                <w:color w:val="000000"/>
                <w:sz w:val="20"/>
                <w:szCs w:val="20"/>
              </w:rPr>
            </w:pPr>
            <w:r w:rsidRPr="001F6E52">
              <w:rPr>
                <w:color w:val="000000"/>
                <w:sz w:val="20"/>
                <w:szCs w:val="20"/>
              </w:rPr>
              <w:t>32,2</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37,8</w:t>
            </w:r>
          </w:p>
        </w:tc>
        <w:tc>
          <w:tcPr>
            <w:tcW w:w="1515"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17,3%</w:t>
            </w:r>
          </w:p>
        </w:tc>
        <w:tc>
          <w:tcPr>
            <w:tcW w:w="1418"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14,3%</w:t>
            </w:r>
          </w:p>
        </w:tc>
      </w:tr>
      <w:tr w:rsidR="008F715D" w:rsidRPr="001F6E52" w:rsidTr="002105A0">
        <w:trPr>
          <w:trHeight w:val="330"/>
        </w:trPr>
        <w:tc>
          <w:tcPr>
            <w:tcW w:w="3347" w:type="dxa"/>
            <w:tcBorders>
              <w:top w:val="nil"/>
              <w:left w:val="single" w:sz="12" w:space="0" w:color="0070C0"/>
              <w:bottom w:val="single" w:sz="12" w:space="0" w:color="0070C0"/>
              <w:right w:val="single" w:sz="12" w:space="0" w:color="0070C0"/>
            </w:tcBorders>
            <w:shd w:val="clear" w:color="000000" w:fill="FFFFFF"/>
            <w:vAlign w:val="center"/>
            <w:hideMark/>
          </w:tcPr>
          <w:p w:rsidR="008F715D" w:rsidRPr="001F6E52" w:rsidRDefault="008F715D" w:rsidP="002105A0">
            <w:pPr>
              <w:ind w:left="708"/>
              <w:rPr>
                <w:color w:val="000000"/>
                <w:sz w:val="20"/>
                <w:szCs w:val="20"/>
              </w:rPr>
            </w:pPr>
            <w:r w:rsidRPr="001F6E52">
              <w:rPr>
                <w:color w:val="000000"/>
                <w:sz w:val="20"/>
                <w:szCs w:val="20"/>
              </w:rPr>
              <w:t>Moratoires</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Pr="001F6E52" w:rsidRDefault="008F715D" w:rsidP="002105A0">
            <w:pPr>
              <w:jc w:val="center"/>
              <w:rPr>
                <w:color w:val="000000"/>
                <w:sz w:val="20"/>
                <w:szCs w:val="20"/>
              </w:rPr>
            </w:pPr>
            <w:r w:rsidRPr="001F6E52">
              <w:rPr>
                <w:color w:val="000000"/>
                <w:sz w:val="20"/>
                <w:szCs w:val="20"/>
              </w:rPr>
              <w:t>2,6</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34,0</w:t>
            </w:r>
          </w:p>
        </w:tc>
        <w:tc>
          <w:tcPr>
            <w:tcW w:w="1515"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1209,4%</w:t>
            </w:r>
          </w:p>
        </w:tc>
        <w:tc>
          <w:tcPr>
            <w:tcW w:w="1418"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12,9%</w:t>
            </w:r>
          </w:p>
        </w:tc>
      </w:tr>
      <w:tr w:rsidR="008F715D" w:rsidRPr="001F6E52" w:rsidTr="002105A0">
        <w:trPr>
          <w:trHeight w:val="330"/>
        </w:trPr>
        <w:tc>
          <w:tcPr>
            <w:tcW w:w="3347" w:type="dxa"/>
            <w:tcBorders>
              <w:top w:val="nil"/>
              <w:left w:val="single" w:sz="12" w:space="0" w:color="0070C0"/>
              <w:bottom w:val="single" w:sz="12" w:space="0" w:color="0070C0"/>
              <w:right w:val="single" w:sz="12" w:space="0" w:color="0070C0"/>
            </w:tcBorders>
            <w:shd w:val="clear" w:color="000000" w:fill="FFFFFF"/>
            <w:vAlign w:val="center"/>
            <w:hideMark/>
          </w:tcPr>
          <w:p w:rsidR="008F715D" w:rsidRPr="001F6E52" w:rsidRDefault="008F715D" w:rsidP="002105A0">
            <w:pPr>
              <w:ind w:left="708"/>
              <w:rPr>
                <w:color w:val="000000"/>
                <w:sz w:val="20"/>
                <w:szCs w:val="20"/>
              </w:rPr>
            </w:pPr>
            <w:r w:rsidRPr="001F6E52">
              <w:rPr>
                <w:color w:val="000000"/>
                <w:sz w:val="20"/>
                <w:szCs w:val="20"/>
              </w:rPr>
              <w:t>Divers</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Pr="001F6E52" w:rsidRDefault="008F715D" w:rsidP="002105A0">
            <w:pPr>
              <w:jc w:val="center"/>
              <w:rPr>
                <w:color w:val="000000"/>
                <w:sz w:val="20"/>
                <w:szCs w:val="20"/>
              </w:rPr>
            </w:pPr>
            <w:r w:rsidRPr="001F6E52">
              <w:rPr>
                <w:color w:val="000000"/>
                <w:sz w:val="20"/>
                <w:szCs w:val="20"/>
              </w:rPr>
              <w:t>18,1</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18,1</w:t>
            </w:r>
          </w:p>
        </w:tc>
        <w:tc>
          <w:tcPr>
            <w:tcW w:w="1515"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-0,2%</w:t>
            </w:r>
          </w:p>
        </w:tc>
        <w:tc>
          <w:tcPr>
            <w:tcW w:w="1418"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6,8%</w:t>
            </w:r>
          </w:p>
        </w:tc>
      </w:tr>
      <w:tr w:rsidR="008F715D" w:rsidRPr="001F6E52" w:rsidTr="002105A0">
        <w:trPr>
          <w:trHeight w:val="330"/>
        </w:trPr>
        <w:tc>
          <w:tcPr>
            <w:tcW w:w="3347" w:type="dxa"/>
            <w:tcBorders>
              <w:top w:val="nil"/>
              <w:left w:val="single" w:sz="12" w:space="0" w:color="0070C0"/>
              <w:bottom w:val="single" w:sz="12" w:space="0" w:color="0070C0"/>
              <w:right w:val="single" w:sz="12" w:space="0" w:color="0070C0"/>
            </w:tcBorders>
            <w:shd w:val="clear" w:color="000000" w:fill="FFFFFF"/>
            <w:vAlign w:val="center"/>
            <w:hideMark/>
          </w:tcPr>
          <w:p w:rsidR="008F715D" w:rsidRPr="001F6E52" w:rsidRDefault="008F715D" w:rsidP="002105A0">
            <w:pPr>
              <w:ind w:left="708"/>
              <w:rPr>
                <w:color w:val="000000"/>
                <w:sz w:val="20"/>
                <w:szCs w:val="20"/>
              </w:rPr>
            </w:pPr>
            <w:r w:rsidRPr="001F6E52">
              <w:rPr>
                <w:color w:val="000000"/>
                <w:sz w:val="20"/>
                <w:szCs w:val="20"/>
              </w:rPr>
              <w:t>Marché financier Régional</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Pr="001F6E52" w:rsidRDefault="008F715D" w:rsidP="002105A0">
            <w:pPr>
              <w:jc w:val="center"/>
              <w:rPr>
                <w:color w:val="000000"/>
                <w:sz w:val="20"/>
                <w:szCs w:val="20"/>
              </w:rPr>
            </w:pPr>
          </w:p>
        </w:tc>
        <w:tc>
          <w:tcPr>
            <w:tcW w:w="1440"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1,3</w:t>
            </w:r>
          </w:p>
        </w:tc>
        <w:tc>
          <w:tcPr>
            <w:tcW w:w="1515"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b/>
                <w:bCs/>
                <w:color w:val="000000"/>
                <w:sz w:val="20"/>
                <w:szCs w:val="20"/>
              </w:rPr>
            </w:pPr>
            <w:r>
              <w:rPr>
                <w:b/>
                <w:bCs/>
                <w:color w:val="000000"/>
                <w:sz w:val="20"/>
                <w:szCs w:val="20"/>
              </w:rPr>
              <w:t>-</w:t>
            </w:r>
          </w:p>
        </w:tc>
        <w:tc>
          <w:tcPr>
            <w:tcW w:w="1418"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0,5%</w:t>
            </w:r>
          </w:p>
        </w:tc>
      </w:tr>
      <w:tr w:rsidR="008F715D" w:rsidRPr="001F6E52" w:rsidTr="002105A0">
        <w:trPr>
          <w:trHeight w:val="330"/>
        </w:trPr>
        <w:tc>
          <w:tcPr>
            <w:tcW w:w="3347" w:type="dxa"/>
            <w:tcBorders>
              <w:top w:val="nil"/>
              <w:left w:val="single" w:sz="12" w:space="0" w:color="0070C0"/>
              <w:bottom w:val="single" w:sz="12" w:space="0" w:color="0070C0"/>
              <w:right w:val="single" w:sz="12" w:space="0" w:color="0070C0"/>
            </w:tcBorders>
            <w:shd w:val="clear" w:color="000000" w:fill="FFFFFF"/>
            <w:vAlign w:val="center"/>
            <w:hideMark/>
          </w:tcPr>
          <w:p w:rsidR="008F715D" w:rsidRPr="001F6E52" w:rsidRDefault="008F715D" w:rsidP="002105A0">
            <w:pPr>
              <w:rPr>
                <w:b/>
                <w:bCs/>
                <w:color w:val="000000"/>
                <w:sz w:val="20"/>
                <w:szCs w:val="20"/>
              </w:rPr>
            </w:pPr>
            <w:r w:rsidRPr="001F6E52">
              <w:rPr>
                <w:b/>
                <w:bCs/>
                <w:color w:val="000000"/>
                <w:sz w:val="20"/>
                <w:szCs w:val="20"/>
              </w:rPr>
              <w:t>Total</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Pr="001F6E52" w:rsidRDefault="008F715D" w:rsidP="002105A0">
            <w:pPr>
              <w:jc w:val="center"/>
              <w:rPr>
                <w:b/>
                <w:bCs/>
                <w:color w:val="000000"/>
                <w:sz w:val="20"/>
                <w:szCs w:val="20"/>
              </w:rPr>
            </w:pPr>
            <w:r w:rsidRPr="001F6E52">
              <w:rPr>
                <w:b/>
                <w:bCs/>
                <w:color w:val="000000"/>
                <w:sz w:val="20"/>
                <w:szCs w:val="20"/>
              </w:rPr>
              <w:t>230</w:t>
            </w:r>
          </w:p>
        </w:tc>
        <w:tc>
          <w:tcPr>
            <w:tcW w:w="1440"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b/>
                <w:bCs/>
                <w:color w:val="000000"/>
                <w:sz w:val="20"/>
                <w:szCs w:val="20"/>
              </w:rPr>
            </w:pPr>
            <w:r>
              <w:rPr>
                <w:b/>
                <w:bCs/>
                <w:color w:val="000000"/>
                <w:sz w:val="20"/>
                <w:szCs w:val="20"/>
              </w:rPr>
              <w:t>264,3</w:t>
            </w:r>
          </w:p>
        </w:tc>
        <w:tc>
          <w:tcPr>
            <w:tcW w:w="1515"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b/>
                <w:bCs/>
                <w:color w:val="000000"/>
                <w:sz w:val="20"/>
                <w:szCs w:val="20"/>
              </w:rPr>
            </w:pPr>
            <w:r>
              <w:rPr>
                <w:b/>
                <w:bCs/>
                <w:color w:val="000000"/>
                <w:sz w:val="20"/>
                <w:szCs w:val="20"/>
              </w:rPr>
              <w:t>14,9%</w:t>
            </w:r>
          </w:p>
        </w:tc>
        <w:tc>
          <w:tcPr>
            <w:tcW w:w="1418"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b/>
                <w:bCs/>
                <w:color w:val="000000"/>
                <w:sz w:val="20"/>
                <w:szCs w:val="20"/>
              </w:rPr>
            </w:pPr>
            <w:r>
              <w:rPr>
                <w:b/>
                <w:bCs/>
                <w:color w:val="000000"/>
                <w:sz w:val="20"/>
                <w:szCs w:val="20"/>
              </w:rPr>
              <w:t>100,0%</w:t>
            </w:r>
          </w:p>
        </w:tc>
      </w:tr>
    </w:tbl>
    <w:p w:rsidR="008F715D" w:rsidRPr="00CF1C8D" w:rsidRDefault="008F715D" w:rsidP="008F715D">
      <w:pPr>
        <w:spacing w:after="120"/>
        <w:jc w:val="both"/>
        <w:rPr>
          <w:rFonts w:eastAsia="Arial Unicode MS"/>
          <w:sz w:val="20"/>
          <w:szCs w:val="20"/>
        </w:rPr>
      </w:pPr>
      <w:r w:rsidRPr="00CF1C8D">
        <w:rPr>
          <w:rFonts w:eastAsia="Arial Unicode MS"/>
          <w:sz w:val="20"/>
          <w:szCs w:val="20"/>
        </w:rPr>
        <w:t>Source : DGD</w:t>
      </w:r>
    </w:p>
    <w:p w:rsidR="008F715D" w:rsidRDefault="008F715D" w:rsidP="008F715D">
      <w:pPr>
        <w:spacing w:after="120"/>
        <w:ind w:firstLine="357"/>
        <w:jc w:val="both"/>
        <w:rPr>
          <w:b/>
          <w:bCs/>
          <w:i/>
          <w:iCs/>
        </w:rPr>
      </w:pPr>
    </w:p>
    <w:p w:rsidR="008F715D" w:rsidRDefault="008F715D" w:rsidP="008F715D">
      <w:pPr>
        <w:spacing w:after="120"/>
        <w:ind w:firstLine="357"/>
        <w:jc w:val="both"/>
        <w:rPr>
          <w:b/>
          <w:bCs/>
          <w:i/>
          <w:iCs/>
        </w:rPr>
      </w:pPr>
    </w:p>
    <w:p w:rsidR="008F715D" w:rsidRDefault="008F715D" w:rsidP="008F715D">
      <w:pPr>
        <w:spacing w:after="120"/>
        <w:ind w:firstLine="357"/>
        <w:jc w:val="both"/>
        <w:rPr>
          <w:b/>
          <w:bCs/>
          <w:i/>
          <w:iCs/>
        </w:rPr>
      </w:pPr>
    </w:p>
    <w:p w:rsidR="008F715D" w:rsidRPr="00B02DAA" w:rsidRDefault="008F715D" w:rsidP="008F715D">
      <w:pPr>
        <w:spacing w:after="120"/>
        <w:ind w:firstLine="357"/>
        <w:jc w:val="both"/>
        <w:rPr>
          <w:b/>
          <w:bCs/>
          <w:i/>
          <w:iCs/>
        </w:rPr>
      </w:pPr>
    </w:p>
    <w:p w:rsidR="008F715D" w:rsidRPr="0097597D" w:rsidRDefault="008F715D" w:rsidP="008F715D">
      <w:pPr>
        <w:pStyle w:val="Titre3"/>
        <w:spacing w:after="240"/>
        <w:ind w:firstLine="0"/>
        <w:rPr>
          <w:b/>
          <w:bCs/>
          <w:i/>
          <w:iCs/>
          <w:color w:val="0000FF"/>
          <w:sz w:val="24"/>
        </w:rPr>
      </w:pPr>
      <w:bookmarkStart w:id="293" w:name="_Toc462990873"/>
      <w:r w:rsidRPr="0097597D">
        <w:rPr>
          <w:b/>
          <w:bCs/>
          <w:i/>
          <w:iCs/>
          <w:color w:val="0000FF"/>
          <w:sz w:val="24"/>
        </w:rPr>
        <w:lastRenderedPageBreak/>
        <w:t>III.4.2. L’évolution des tirages sur financements</w:t>
      </w:r>
      <w:bookmarkEnd w:id="293"/>
      <w:r w:rsidRPr="0097597D">
        <w:rPr>
          <w:b/>
          <w:bCs/>
          <w:i/>
          <w:iCs/>
          <w:color w:val="0000FF"/>
          <w:sz w:val="24"/>
        </w:rPr>
        <w:t xml:space="preserve"> </w:t>
      </w:r>
    </w:p>
    <w:p w:rsidR="008F715D" w:rsidRDefault="008F715D" w:rsidP="008F715D">
      <w:pPr>
        <w:spacing w:after="240"/>
        <w:jc w:val="both"/>
        <w:rPr>
          <w:color w:val="000000" w:themeColor="text1"/>
        </w:rPr>
      </w:pPr>
      <w:r w:rsidRPr="002205E6">
        <w:t>Les décaissements cumulés sur emprunts à fin juin 2016 se sont élevés à 213,</w:t>
      </w:r>
      <w:r>
        <w:t>4</w:t>
      </w:r>
      <w:r w:rsidRPr="002205E6">
        <w:t xml:space="preserve"> milliards de FCFA. Ils ont enregistré une baisse de 39,</w:t>
      </w:r>
      <w:r>
        <w:t>2</w:t>
      </w:r>
      <w:r w:rsidRPr="002205E6">
        <w:t>% par rapport à la même période en 2015. Cependant, les financements intérieurs ont  connu un tirage de 136,2 milliards de FCFA en juin 2016 contre 12,5 milliards en juin 2015</w:t>
      </w:r>
      <w:r>
        <w:t>.</w:t>
      </w:r>
      <w:r w:rsidRPr="002205E6">
        <w:t xml:space="preserve"> La baisse des financements extérieurs découle </w:t>
      </w:r>
      <w:r w:rsidRPr="002205E6">
        <w:rPr>
          <w:color w:val="000000" w:themeColor="text1"/>
        </w:rPr>
        <w:t>du non recours au marché financier international.</w:t>
      </w:r>
    </w:p>
    <w:p w:rsidR="008F715D" w:rsidRDefault="008F715D" w:rsidP="008F715D">
      <w:pPr>
        <w:spacing w:after="240"/>
        <w:rPr>
          <w:b/>
          <w:bCs/>
          <w:i/>
          <w:iCs/>
          <w:sz w:val="22"/>
          <w:szCs w:val="22"/>
        </w:rPr>
      </w:pPr>
      <w:r w:rsidRPr="001F6E52">
        <w:rPr>
          <w:b/>
          <w:bCs/>
          <w:i/>
          <w:iCs/>
          <w:sz w:val="22"/>
          <w:szCs w:val="22"/>
        </w:rPr>
        <w:t>Evolution sur financements extérieurs et intérieurs</w:t>
      </w:r>
    </w:p>
    <w:tbl>
      <w:tblPr>
        <w:tblW w:w="7938" w:type="dxa"/>
        <w:tblInd w:w="-15" w:type="dxa"/>
        <w:tblCellMar>
          <w:left w:w="70" w:type="dxa"/>
          <w:right w:w="70" w:type="dxa"/>
        </w:tblCellMar>
        <w:tblLook w:val="04A0"/>
      </w:tblPr>
      <w:tblGrid>
        <w:gridCol w:w="3146"/>
        <w:gridCol w:w="1107"/>
        <w:gridCol w:w="1120"/>
        <w:gridCol w:w="1180"/>
        <w:gridCol w:w="1385"/>
      </w:tblGrid>
      <w:tr w:rsidR="008F715D" w:rsidRPr="00C4618B" w:rsidTr="002105A0">
        <w:trPr>
          <w:trHeight w:val="360"/>
        </w:trPr>
        <w:tc>
          <w:tcPr>
            <w:tcW w:w="3146" w:type="dxa"/>
            <w:vMerge w:val="restart"/>
            <w:tcBorders>
              <w:top w:val="single" w:sz="12" w:space="0" w:color="0070C0"/>
              <w:left w:val="single" w:sz="12" w:space="0" w:color="0070C0"/>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color w:val="000000"/>
                <w:sz w:val="20"/>
                <w:szCs w:val="20"/>
              </w:rPr>
            </w:pPr>
            <w:r w:rsidRPr="00C4618B">
              <w:rPr>
                <w:b/>
                <w:color w:val="000000"/>
                <w:sz w:val="20"/>
                <w:szCs w:val="20"/>
              </w:rPr>
              <w:t>(En milliards de FCFA)</w:t>
            </w:r>
          </w:p>
        </w:tc>
        <w:tc>
          <w:tcPr>
            <w:tcW w:w="2227" w:type="dxa"/>
            <w:gridSpan w:val="2"/>
            <w:tcBorders>
              <w:top w:val="single" w:sz="12" w:space="0" w:color="0070C0"/>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color w:val="000000"/>
                <w:sz w:val="20"/>
                <w:szCs w:val="20"/>
              </w:rPr>
            </w:pPr>
            <w:r w:rsidRPr="00C4618B">
              <w:rPr>
                <w:b/>
                <w:color w:val="000000"/>
                <w:sz w:val="20"/>
                <w:szCs w:val="20"/>
              </w:rPr>
              <w:t>Premier semestre</w:t>
            </w:r>
          </w:p>
        </w:tc>
        <w:tc>
          <w:tcPr>
            <w:tcW w:w="1180" w:type="dxa"/>
            <w:vMerge w:val="restart"/>
            <w:tcBorders>
              <w:top w:val="single" w:sz="12" w:space="0" w:color="0070C0"/>
              <w:left w:val="single" w:sz="12" w:space="0" w:color="0070C0"/>
              <w:bottom w:val="single" w:sz="12" w:space="0" w:color="0070C0"/>
              <w:right w:val="single" w:sz="12" w:space="0" w:color="0070C0"/>
            </w:tcBorders>
            <w:shd w:val="clear" w:color="auto" w:fill="auto"/>
            <w:noWrap/>
            <w:vAlign w:val="center"/>
            <w:hideMark/>
          </w:tcPr>
          <w:p w:rsidR="008F715D" w:rsidRDefault="008F715D" w:rsidP="002105A0">
            <w:pPr>
              <w:jc w:val="center"/>
              <w:rPr>
                <w:b/>
                <w:color w:val="000000"/>
                <w:sz w:val="20"/>
                <w:szCs w:val="20"/>
              </w:rPr>
            </w:pPr>
            <w:r w:rsidRPr="00C4618B">
              <w:rPr>
                <w:b/>
                <w:color w:val="000000"/>
                <w:sz w:val="20"/>
                <w:szCs w:val="20"/>
              </w:rPr>
              <w:t xml:space="preserve">Var </w:t>
            </w:r>
          </w:p>
          <w:p w:rsidR="008F715D" w:rsidRPr="00C4618B" w:rsidRDefault="008F715D" w:rsidP="002105A0">
            <w:pPr>
              <w:jc w:val="center"/>
              <w:rPr>
                <w:b/>
                <w:color w:val="000000"/>
                <w:sz w:val="20"/>
                <w:szCs w:val="20"/>
              </w:rPr>
            </w:pPr>
            <w:r w:rsidRPr="00C4618B">
              <w:rPr>
                <w:b/>
                <w:color w:val="000000"/>
                <w:sz w:val="20"/>
                <w:szCs w:val="20"/>
              </w:rPr>
              <w:t>(%)</w:t>
            </w:r>
          </w:p>
        </w:tc>
        <w:tc>
          <w:tcPr>
            <w:tcW w:w="1385" w:type="dxa"/>
            <w:vMerge w:val="restart"/>
            <w:tcBorders>
              <w:top w:val="single" w:sz="12" w:space="0" w:color="0070C0"/>
              <w:left w:val="single" w:sz="12" w:space="0" w:color="0070C0"/>
              <w:bottom w:val="single" w:sz="12" w:space="0" w:color="0070C0"/>
              <w:right w:val="single" w:sz="12" w:space="0" w:color="0070C0"/>
            </w:tcBorders>
            <w:shd w:val="clear" w:color="auto" w:fill="auto"/>
            <w:noWrap/>
            <w:vAlign w:val="center"/>
            <w:hideMark/>
          </w:tcPr>
          <w:p w:rsidR="008F715D" w:rsidRPr="005D075E" w:rsidRDefault="008F715D" w:rsidP="002105A0">
            <w:pPr>
              <w:jc w:val="center"/>
              <w:rPr>
                <w:b/>
                <w:color w:val="000000"/>
                <w:sz w:val="20"/>
                <w:szCs w:val="20"/>
              </w:rPr>
            </w:pPr>
            <w:r w:rsidRPr="00C4618B">
              <w:rPr>
                <w:b/>
                <w:color w:val="000000"/>
                <w:sz w:val="20"/>
                <w:szCs w:val="20"/>
              </w:rPr>
              <w:t>Poids</w:t>
            </w:r>
            <w:r w:rsidRPr="005D075E">
              <w:rPr>
                <w:b/>
                <w:color w:val="000000"/>
                <w:sz w:val="20"/>
                <w:szCs w:val="20"/>
              </w:rPr>
              <w:t xml:space="preserve"> en 2016</w:t>
            </w:r>
          </w:p>
          <w:p w:rsidR="008F715D" w:rsidRPr="00C4618B" w:rsidRDefault="008F715D" w:rsidP="002105A0">
            <w:pPr>
              <w:jc w:val="center"/>
              <w:rPr>
                <w:b/>
                <w:color w:val="000000"/>
                <w:sz w:val="20"/>
                <w:szCs w:val="20"/>
              </w:rPr>
            </w:pPr>
            <w:r w:rsidRPr="005D075E">
              <w:rPr>
                <w:b/>
                <w:color w:val="000000"/>
                <w:sz w:val="20"/>
                <w:szCs w:val="20"/>
              </w:rPr>
              <w:t>(%)</w:t>
            </w:r>
          </w:p>
        </w:tc>
      </w:tr>
      <w:tr w:rsidR="008F715D" w:rsidRPr="00C4618B" w:rsidTr="002105A0">
        <w:trPr>
          <w:trHeight w:val="360"/>
        </w:trPr>
        <w:tc>
          <w:tcPr>
            <w:tcW w:w="3146"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C4618B" w:rsidRDefault="008F715D" w:rsidP="002105A0">
            <w:pPr>
              <w:rPr>
                <w:color w:val="000000"/>
                <w:sz w:val="20"/>
                <w:szCs w:val="20"/>
              </w:rPr>
            </w:pPr>
          </w:p>
        </w:tc>
        <w:tc>
          <w:tcPr>
            <w:tcW w:w="1107"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color w:val="000000"/>
                <w:sz w:val="20"/>
                <w:szCs w:val="20"/>
              </w:rPr>
            </w:pPr>
            <w:r w:rsidRPr="00C4618B">
              <w:rPr>
                <w:b/>
                <w:color w:val="000000"/>
                <w:sz w:val="20"/>
                <w:szCs w:val="20"/>
              </w:rPr>
              <w:t>2015</w:t>
            </w:r>
          </w:p>
        </w:tc>
        <w:tc>
          <w:tcPr>
            <w:tcW w:w="1120"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color w:val="000000"/>
                <w:sz w:val="20"/>
                <w:szCs w:val="20"/>
              </w:rPr>
            </w:pPr>
            <w:r w:rsidRPr="00C4618B">
              <w:rPr>
                <w:b/>
                <w:color w:val="000000"/>
                <w:sz w:val="20"/>
                <w:szCs w:val="20"/>
              </w:rPr>
              <w:t>2016</w:t>
            </w:r>
          </w:p>
        </w:tc>
        <w:tc>
          <w:tcPr>
            <w:tcW w:w="1180"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C4618B" w:rsidRDefault="008F715D" w:rsidP="002105A0">
            <w:pPr>
              <w:rPr>
                <w:color w:val="000000"/>
                <w:sz w:val="20"/>
                <w:szCs w:val="20"/>
              </w:rPr>
            </w:pPr>
          </w:p>
        </w:tc>
        <w:tc>
          <w:tcPr>
            <w:tcW w:w="1385" w:type="dxa"/>
            <w:vMerge/>
            <w:tcBorders>
              <w:top w:val="single" w:sz="12" w:space="0" w:color="0070C0"/>
              <w:left w:val="single" w:sz="12" w:space="0" w:color="0070C0"/>
              <w:bottom w:val="single" w:sz="12" w:space="0" w:color="0070C0"/>
              <w:right w:val="single" w:sz="12" w:space="0" w:color="0070C0"/>
            </w:tcBorders>
            <w:vAlign w:val="center"/>
            <w:hideMark/>
          </w:tcPr>
          <w:p w:rsidR="008F715D" w:rsidRPr="00C4618B" w:rsidRDefault="008F715D" w:rsidP="002105A0">
            <w:pPr>
              <w:rPr>
                <w:color w:val="000000"/>
                <w:sz w:val="20"/>
                <w:szCs w:val="20"/>
              </w:rPr>
            </w:pPr>
          </w:p>
        </w:tc>
      </w:tr>
      <w:tr w:rsidR="008F715D" w:rsidRPr="00C4618B" w:rsidTr="002105A0">
        <w:trPr>
          <w:trHeight w:val="360"/>
        </w:trPr>
        <w:tc>
          <w:tcPr>
            <w:tcW w:w="3146"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4618B" w:rsidRDefault="008F715D" w:rsidP="002105A0">
            <w:pPr>
              <w:jc w:val="both"/>
              <w:rPr>
                <w:b/>
                <w:bCs/>
                <w:color w:val="000000"/>
                <w:sz w:val="20"/>
                <w:szCs w:val="20"/>
              </w:rPr>
            </w:pPr>
            <w:r w:rsidRPr="00C4618B">
              <w:rPr>
                <w:b/>
                <w:bCs/>
                <w:color w:val="000000"/>
                <w:sz w:val="20"/>
                <w:szCs w:val="20"/>
              </w:rPr>
              <w:t>Extérieure</w:t>
            </w:r>
          </w:p>
        </w:tc>
        <w:tc>
          <w:tcPr>
            <w:tcW w:w="1107"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bCs/>
                <w:color w:val="000000"/>
                <w:sz w:val="20"/>
                <w:szCs w:val="20"/>
              </w:rPr>
            </w:pPr>
            <w:r w:rsidRPr="00C4618B">
              <w:rPr>
                <w:b/>
                <w:bCs/>
                <w:color w:val="000000"/>
                <w:sz w:val="20"/>
                <w:szCs w:val="20"/>
              </w:rPr>
              <w:t>338,8</w:t>
            </w:r>
          </w:p>
        </w:tc>
        <w:tc>
          <w:tcPr>
            <w:tcW w:w="1120"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bCs/>
                <w:color w:val="000000"/>
                <w:sz w:val="20"/>
                <w:szCs w:val="20"/>
              </w:rPr>
            </w:pPr>
            <w:r w:rsidRPr="00C4618B">
              <w:rPr>
                <w:b/>
                <w:bCs/>
                <w:color w:val="000000"/>
                <w:sz w:val="20"/>
                <w:szCs w:val="20"/>
              </w:rPr>
              <w:t>77,2</w:t>
            </w:r>
          </w:p>
        </w:tc>
        <w:tc>
          <w:tcPr>
            <w:tcW w:w="1180"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bCs/>
                <w:color w:val="000000"/>
                <w:sz w:val="20"/>
                <w:szCs w:val="20"/>
              </w:rPr>
            </w:pPr>
            <w:r w:rsidRPr="00C4618B">
              <w:rPr>
                <w:b/>
                <w:bCs/>
                <w:color w:val="000000"/>
                <w:sz w:val="20"/>
                <w:szCs w:val="20"/>
              </w:rPr>
              <w:t>-77,2</w:t>
            </w:r>
          </w:p>
        </w:tc>
        <w:tc>
          <w:tcPr>
            <w:tcW w:w="1385"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bCs/>
                <w:color w:val="000000"/>
                <w:sz w:val="20"/>
                <w:szCs w:val="20"/>
              </w:rPr>
            </w:pPr>
            <w:r w:rsidRPr="00C4618B">
              <w:rPr>
                <w:b/>
                <w:bCs/>
                <w:color w:val="000000"/>
                <w:sz w:val="20"/>
                <w:szCs w:val="20"/>
              </w:rPr>
              <w:t>36,2</w:t>
            </w:r>
          </w:p>
        </w:tc>
      </w:tr>
      <w:tr w:rsidR="008F715D" w:rsidRPr="00C4618B" w:rsidTr="002105A0">
        <w:trPr>
          <w:trHeight w:val="360"/>
        </w:trPr>
        <w:tc>
          <w:tcPr>
            <w:tcW w:w="3146"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4618B" w:rsidRDefault="008F715D" w:rsidP="002105A0">
            <w:pPr>
              <w:ind w:firstLineChars="200" w:firstLine="400"/>
              <w:rPr>
                <w:color w:val="000000"/>
                <w:sz w:val="20"/>
                <w:szCs w:val="20"/>
              </w:rPr>
            </w:pPr>
            <w:r w:rsidRPr="00C4618B">
              <w:rPr>
                <w:color w:val="000000"/>
                <w:sz w:val="20"/>
                <w:szCs w:val="20"/>
              </w:rPr>
              <w:t>Multilatéraux</w:t>
            </w:r>
          </w:p>
        </w:tc>
        <w:tc>
          <w:tcPr>
            <w:tcW w:w="1107"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color w:val="000000"/>
                <w:sz w:val="20"/>
                <w:szCs w:val="20"/>
              </w:rPr>
            </w:pPr>
            <w:r w:rsidRPr="00C4618B">
              <w:rPr>
                <w:color w:val="000000"/>
                <w:sz w:val="20"/>
                <w:szCs w:val="20"/>
              </w:rPr>
              <w:t>1,6</w:t>
            </w:r>
          </w:p>
        </w:tc>
        <w:tc>
          <w:tcPr>
            <w:tcW w:w="1120"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color w:val="000000"/>
                <w:sz w:val="20"/>
                <w:szCs w:val="20"/>
              </w:rPr>
            </w:pPr>
            <w:r w:rsidRPr="00C4618B">
              <w:rPr>
                <w:color w:val="000000"/>
                <w:sz w:val="20"/>
                <w:szCs w:val="20"/>
              </w:rPr>
              <w:t>7,3</w:t>
            </w:r>
          </w:p>
        </w:tc>
        <w:tc>
          <w:tcPr>
            <w:tcW w:w="1180"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color w:val="000000"/>
                <w:sz w:val="20"/>
                <w:szCs w:val="20"/>
              </w:rPr>
            </w:pPr>
            <w:r w:rsidRPr="00C4618B">
              <w:rPr>
                <w:color w:val="000000"/>
                <w:sz w:val="20"/>
                <w:szCs w:val="20"/>
              </w:rPr>
              <w:t>354,2</w:t>
            </w:r>
          </w:p>
        </w:tc>
        <w:tc>
          <w:tcPr>
            <w:tcW w:w="1385"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color w:val="000000"/>
                <w:sz w:val="20"/>
                <w:szCs w:val="20"/>
              </w:rPr>
            </w:pPr>
            <w:r w:rsidRPr="00C4618B">
              <w:rPr>
                <w:color w:val="000000"/>
                <w:sz w:val="20"/>
                <w:szCs w:val="20"/>
              </w:rPr>
              <w:t>3,4</w:t>
            </w:r>
          </w:p>
        </w:tc>
      </w:tr>
      <w:tr w:rsidR="008F715D" w:rsidRPr="00C4618B" w:rsidTr="002105A0">
        <w:trPr>
          <w:trHeight w:val="360"/>
        </w:trPr>
        <w:tc>
          <w:tcPr>
            <w:tcW w:w="3146"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4618B" w:rsidRDefault="008F715D" w:rsidP="002105A0">
            <w:pPr>
              <w:ind w:firstLineChars="200" w:firstLine="400"/>
              <w:rPr>
                <w:color w:val="000000"/>
                <w:sz w:val="20"/>
                <w:szCs w:val="20"/>
              </w:rPr>
            </w:pPr>
            <w:r w:rsidRPr="00C4618B">
              <w:rPr>
                <w:color w:val="000000"/>
                <w:sz w:val="20"/>
                <w:szCs w:val="20"/>
              </w:rPr>
              <w:t>Bilatéraux</w:t>
            </w:r>
          </w:p>
        </w:tc>
        <w:tc>
          <w:tcPr>
            <w:tcW w:w="1107" w:type="dxa"/>
            <w:tcBorders>
              <w:top w:val="nil"/>
              <w:left w:val="nil"/>
              <w:bottom w:val="single" w:sz="12" w:space="0" w:color="0070C0"/>
              <w:right w:val="single" w:sz="12" w:space="0" w:color="0070C0"/>
            </w:tcBorders>
            <w:shd w:val="clear" w:color="auto" w:fill="auto"/>
            <w:vAlign w:val="center"/>
            <w:hideMark/>
          </w:tcPr>
          <w:p w:rsidR="008F715D" w:rsidRPr="00C4618B" w:rsidRDefault="008F715D" w:rsidP="002105A0">
            <w:pPr>
              <w:jc w:val="center"/>
              <w:rPr>
                <w:color w:val="000000"/>
                <w:sz w:val="20"/>
                <w:szCs w:val="20"/>
              </w:rPr>
            </w:pPr>
            <w:r w:rsidRPr="00C4618B">
              <w:rPr>
                <w:color w:val="000000"/>
                <w:sz w:val="20"/>
                <w:szCs w:val="20"/>
              </w:rPr>
              <w:t>16</w:t>
            </w:r>
          </w:p>
        </w:tc>
        <w:tc>
          <w:tcPr>
            <w:tcW w:w="1120" w:type="dxa"/>
            <w:tcBorders>
              <w:top w:val="nil"/>
              <w:left w:val="nil"/>
              <w:bottom w:val="single" w:sz="12" w:space="0" w:color="0070C0"/>
              <w:right w:val="single" w:sz="12" w:space="0" w:color="0070C0"/>
            </w:tcBorders>
            <w:shd w:val="clear" w:color="auto" w:fill="auto"/>
            <w:vAlign w:val="center"/>
            <w:hideMark/>
          </w:tcPr>
          <w:p w:rsidR="008F715D" w:rsidRPr="00C4618B" w:rsidRDefault="008F715D" w:rsidP="002105A0">
            <w:pPr>
              <w:jc w:val="center"/>
              <w:rPr>
                <w:color w:val="000000"/>
                <w:sz w:val="20"/>
                <w:szCs w:val="20"/>
              </w:rPr>
            </w:pPr>
            <w:r w:rsidRPr="00C4618B">
              <w:rPr>
                <w:color w:val="000000"/>
                <w:sz w:val="20"/>
                <w:szCs w:val="20"/>
              </w:rPr>
              <w:t>24,3</w:t>
            </w:r>
          </w:p>
        </w:tc>
        <w:tc>
          <w:tcPr>
            <w:tcW w:w="1180"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color w:val="000000"/>
                <w:sz w:val="20"/>
                <w:szCs w:val="20"/>
              </w:rPr>
            </w:pPr>
            <w:r w:rsidRPr="00C4618B">
              <w:rPr>
                <w:color w:val="000000"/>
                <w:sz w:val="20"/>
                <w:szCs w:val="20"/>
              </w:rPr>
              <w:t>52,1</w:t>
            </w:r>
          </w:p>
        </w:tc>
        <w:tc>
          <w:tcPr>
            <w:tcW w:w="1385"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color w:val="000000"/>
                <w:sz w:val="20"/>
                <w:szCs w:val="20"/>
              </w:rPr>
            </w:pPr>
            <w:r w:rsidRPr="00C4618B">
              <w:rPr>
                <w:color w:val="000000"/>
                <w:sz w:val="20"/>
                <w:szCs w:val="20"/>
              </w:rPr>
              <w:t>11,4</w:t>
            </w:r>
          </w:p>
        </w:tc>
      </w:tr>
      <w:tr w:rsidR="008F715D" w:rsidRPr="00C4618B" w:rsidTr="002105A0">
        <w:trPr>
          <w:trHeight w:val="360"/>
        </w:trPr>
        <w:tc>
          <w:tcPr>
            <w:tcW w:w="3146"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4618B" w:rsidRDefault="008F715D" w:rsidP="002105A0">
            <w:pPr>
              <w:ind w:firstLineChars="200" w:firstLine="400"/>
              <w:rPr>
                <w:color w:val="000000"/>
                <w:sz w:val="20"/>
                <w:szCs w:val="20"/>
              </w:rPr>
            </w:pPr>
            <w:r w:rsidRPr="00C4618B">
              <w:rPr>
                <w:color w:val="000000"/>
                <w:sz w:val="20"/>
                <w:szCs w:val="20"/>
              </w:rPr>
              <w:t>Commerciaux</w:t>
            </w:r>
          </w:p>
        </w:tc>
        <w:tc>
          <w:tcPr>
            <w:tcW w:w="1107"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color w:val="000000"/>
                <w:sz w:val="20"/>
                <w:szCs w:val="20"/>
              </w:rPr>
            </w:pPr>
            <w:r w:rsidRPr="00C4618B">
              <w:rPr>
                <w:color w:val="000000"/>
                <w:sz w:val="20"/>
                <w:szCs w:val="20"/>
              </w:rPr>
              <w:t>24,9</w:t>
            </w:r>
          </w:p>
        </w:tc>
        <w:tc>
          <w:tcPr>
            <w:tcW w:w="1120"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color w:val="000000"/>
                <w:sz w:val="20"/>
                <w:szCs w:val="20"/>
              </w:rPr>
            </w:pPr>
            <w:r w:rsidRPr="00C4618B">
              <w:rPr>
                <w:color w:val="000000"/>
                <w:sz w:val="20"/>
                <w:szCs w:val="20"/>
              </w:rPr>
              <w:t>45,6</w:t>
            </w:r>
          </w:p>
        </w:tc>
        <w:tc>
          <w:tcPr>
            <w:tcW w:w="1180"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color w:val="000000"/>
                <w:sz w:val="20"/>
                <w:szCs w:val="20"/>
              </w:rPr>
            </w:pPr>
            <w:r w:rsidRPr="00C4618B">
              <w:rPr>
                <w:color w:val="000000"/>
                <w:sz w:val="20"/>
                <w:szCs w:val="20"/>
              </w:rPr>
              <w:t>83,1</w:t>
            </w:r>
          </w:p>
        </w:tc>
        <w:tc>
          <w:tcPr>
            <w:tcW w:w="1385"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color w:val="000000"/>
                <w:sz w:val="20"/>
                <w:szCs w:val="20"/>
              </w:rPr>
            </w:pPr>
            <w:r w:rsidRPr="00C4618B">
              <w:rPr>
                <w:color w:val="000000"/>
                <w:sz w:val="20"/>
                <w:szCs w:val="20"/>
              </w:rPr>
              <w:t>21,4</w:t>
            </w:r>
          </w:p>
        </w:tc>
      </w:tr>
      <w:tr w:rsidR="008F715D" w:rsidRPr="00C4618B" w:rsidTr="002105A0">
        <w:trPr>
          <w:trHeight w:val="360"/>
        </w:trPr>
        <w:tc>
          <w:tcPr>
            <w:tcW w:w="3146"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4618B" w:rsidRDefault="008F715D" w:rsidP="002105A0">
            <w:pPr>
              <w:ind w:firstLineChars="200" w:firstLine="400"/>
              <w:rPr>
                <w:color w:val="000000"/>
                <w:sz w:val="20"/>
                <w:szCs w:val="20"/>
              </w:rPr>
            </w:pPr>
            <w:r w:rsidRPr="00C4618B">
              <w:rPr>
                <w:color w:val="000000"/>
                <w:sz w:val="20"/>
                <w:szCs w:val="20"/>
              </w:rPr>
              <w:t>Marché financier international</w:t>
            </w:r>
          </w:p>
        </w:tc>
        <w:tc>
          <w:tcPr>
            <w:tcW w:w="1107"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color w:val="000000"/>
                <w:sz w:val="20"/>
                <w:szCs w:val="20"/>
              </w:rPr>
            </w:pPr>
            <w:r w:rsidRPr="00C4618B">
              <w:rPr>
                <w:color w:val="000000"/>
                <w:sz w:val="20"/>
                <w:szCs w:val="20"/>
              </w:rPr>
              <w:t>296,3</w:t>
            </w:r>
          </w:p>
        </w:tc>
        <w:tc>
          <w:tcPr>
            <w:tcW w:w="1120"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color w:val="000000"/>
                <w:sz w:val="20"/>
                <w:szCs w:val="20"/>
              </w:rPr>
            </w:pPr>
            <w:r w:rsidRPr="00C4618B">
              <w:rPr>
                <w:color w:val="000000"/>
                <w:sz w:val="20"/>
                <w:szCs w:val="20"/>
              </w:rPr>
              <w:t> </w:t>
            </w:r>
          </w:p>
        </w:tc>
        <w:tc>
          <w:tcPr>
            <w:tcW w:w="1180"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color w:val="000000"/>
                <w:sz w:val="20"/>
                <w:szCs w:val="20"/>
              </w:rPr>
            </w:pPr>
            <w:r w:rsidRPr="00C4618B">
              <w:rPr>
                <w:color w:val="000000"/>
                <w:sz w:val="20"/>
                <w:szCs w:val="20"/>
              </w:rPr>
              <w:t>-100,0</w:t>
            </w:r>
          </w:p>
        </w:tc>
        <w:tc>
          <w:tcPr>
            <w:tcW w:w="1385"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color w:val="000000"/>
                <w:sz w:val="20"/>
                <w:szCs w:val="20"/>
              </w:rPr>
            </w:pPr>
            <w:r w:rsidRPr="00C4618B">
              <w:rPr>
                <w:color w:val="000000"/>
                <w:sz w:val="20"/>
                <w:szCs w:val="20"/>
              </w:rPr>
              <w:t>0,0</w:t>
            </w:r>
          </w:p>
        </w:tc>
      </w:tr>
      <w:tr w:rsidR="008F715D" w:rsidRPr="00C4618B" w:rsidTr="002105A0">
        <w:trPr>
          <w:trHeight w:val="360"/>
        </w:trPr>
        <w:tc>
          <w:tcPr>
            <w:tcW w:w="3146"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4618B" w:rsidRDefault="008F715D" w:rsidP="002105A0">
            <w:pPr>
              <w:jc w:val="both"/>
              <w:rPr>
                <w:b/>
                <w:bCs/>
                <w:i/>
                <w:iCs/>
                <w:color w:val="000000"/>
                <w:sz w:val="20"/>
                <w:szCs w:val="20"/>
              </w:rPr>
            </w:pPr>
            <w:r w:rsidRPr="00C4618B">
              <w:rPr>
                <w:b/>
                <w:bCs/>
                <w:i/>
                <w:iCs/>
                <w:color w:val="000000"/>
                <w:sz w:val="20"/>
                <w:szCs w:val="20"/>
              </w:rPr>
              <w:t>Intérieure (financier régional)</w:t>
            </w:r>
          </w:p>
        </w:tc>
        <w:tc>
          <w:tcPr>
            <w:tcW w:w="1107"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bCs/>
                <w:i/>
                <w:iCs/>
                <w:color w:val="000000"/>
                <w:sz w:val="20"/>
                <w:szCs w:val="20"/>
              </w:rPr>
            </w:pPr>
            <w:r w:rsidRPr="00C4618B">
              <w:rPr>
                <w:b/>
                <w:bCs/>
                <w:i/>
                <w:iCs/>
                <w:color w:val="000000"/>
                <w:sz w:val="20"/>
                <w:szCs w:val="20"/>
              </w:rPr>
              <w:t>12,5</w:t>
            </w:r>
          </w:p>
        </w:tc>
        <w:tc>
          <w:tcPr>
            <w:tcW w:w="1120"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bCs/>
                <w:i/>
                <w:iCs/>
                <w:color w:val="000000"/>
                <w:sz w:val="20"/>
                <w:szCs w:val="20"/>
              </w:rPr>
            </w:pPr>
            <w:r w:rsidRPr="00C4618B">
              <w:rPr>
                <w:b/>
                <w:bCs/>
                <w:i/>
                <w:iCs/>
                <w:color w:val="000000"/>
                <w:sz w:val="20"/>
                <w:szCs w:val="20"/>
              </w:rPr>
              <w:t>136,2</w:t>
            </w:r>
          </w:p>
        </w:tc>
        <w:tc>
          <w:tcPr>
            <w:tcW w:w="1180"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bCs/>
                <w:color w:val="000000"/>
                <w:sz w:val="20"/>
                <w:szCs w:val="20"/>
              </w:rPr>
            </w:pPr>
            <w:r w:rsidRPr="00C4618B">
              <w:rPr>
                <w:b/>
                <w:bCs/>
                <w:color w:val="000000"/>
                <w:sz w:val="20"/>
                <w:szCs w:val="20"/>
              </w:rPr>
              <w:t>989,9</w:t>
            </w:r>
          </w:p>
        </w:tc>
        <w:tc>
          <w:tcPr>
            <w:tcW w:w="1385"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bCs/>
                <w:color w:val="000000"/>
                <w:sz w:val="20"/>
                <w:szCs w:val="20"/>
              </w:rPr>
            </w:pPr>
            <w:r w:rsidRPr="00C4618B">
              <w:rPr>
                <w:b/>
                <w:bCs/>
                <w:color w:val="000000"/>
                <w:sz w:val="20"/>
                <w:szCs w:val="20"/>
              </w:rPr>
              <w:t>63,8</w:t>
            </w:r>
          </w:p>
        </w:tc>
      </w:tr>
      <w:tr w:rsidR="008F715D" w:rsidRPr="00C4618B" w:rsidTr="002105A0">
        <w:trPr>
          <w:trHeight w:val="360"/>
        </w:trPr>
        <w:tc>
          <w:tcPr>
            <w:tcW w:w="3146" w:type="dxa"/>
            <w:tcBorders>
              <w:top w:val="nil"/>
              <w:left w:val="single" w:sz="12" w:space="0" w:color="0070C0"/>
              <w:bottom w:val="single" w:sz="12" w:space="0" w:color="0070C0"/>
              <w:right w:val="single" w:sz="12" w:space="0" w:color="0070C0"/>
            </w:tcBorders>
            <w:shd w:val="clear" w:color="auto" w:fill="auto"/>
            <w:noWrap/>
            <w:vAlign w:val="center"/>
            <w:hideMark/>
          </w:tcPr>
          <w:p w:rsidR="008F715D" w:rsidRPr="00C4618B" w:rsidRDefault="008F715D" w:rsidP="002105A0">
            <w:pPr>
              <w:jc w:val="both"/>
              <w:rPr>
                <w:b/>
                <w:bCs/>
                <w:color w:val="000000"/>
                <w:sz w:val="20"/>
                <w:szCs w:val="20"/>
              </w:rPr>
            </w:pPr>
            <w:r w:rsidRPr="00C4618B">
              <w:rPr>
                <w:b/>
                <w:bCs/>
                <w:color w:val="000000"/>
                <w:sz w:val="20"/>
                <w:szCs w:val="20"/>
              </w:rPr>
              <w:t>Total</w:t>
            </w:r>
          </w:p>
        </w:tc>
        <w:tc>
          <w:tcPr>
            <w:tcW w:w="1107"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bCs/>
                <w:color w:val="000000"/>
                <w:sz w:val="20"/>
                <w:szCs w:val="20"/>
              </w:rPr>
            </w:pPr>
            <w:r w:rsidRPr="00C4618B">
              <w:rPr>
                <w:b/>
                <w:bCs/>
                <w:color w:val="000000"/>
                <w:sz w:val="20"/>
                <w:szCs w:val="20"/>
              </w:rPr>
              <w:t>351,3</w:t>
            </w:r>
          </w:p>
        </w:tc>
        <w:tc>
          <w:tcPr>
            <w:tcW w:w="1120"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bCs/>
                <w:color w:val="000000"/>
                <w:sz w:val="20"/>
                <w:szCs w:val="20"/>
              </w:rPr>
            </w:pPr>
            <w:r w:rsidRPr="00C4618B">
              <w:rPr>
                <w:b/>
                <w:bCs/>
                <w:color w:val="000000"/>
                <w:sz w:val="20"/>
                <w:szCs w:val="20"/>
              </w:rPr>
              <w:t>213,4</w:t>
            </w:r>
          </w:p>
        </w:tc>
        <w:tc>
          <w:tcPr>
            <w:tcW w:w="1180"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bCs/>
                <w:color w:val="000000"/>
                <w:sz w:val="20"/>
                <w:szCs w:val="20"/>
              </w:rPr>
            </w:pPr>
            <w:r w:rsidRPr="00C4618B">
              <w:rPr>
                <w:b/>
                <w:bCs/>
                <w:color w:val="000000"/>
                <w:sz w:val="20"/>
                <w:szCs w:val="20"/>
              </w:rPr>
              <w:t>-39,2</w:t>
            </w:r>
          </w:p>
        </w:tc>
        <w:tc>
          <w:tcPr>
            <w:tcW w:w="1385" w:type="dxa"/>
            <w:tcBorders>
              <w:top w:val="nil"/>
              <w:left w:val="nil"/>
              <w:bottom w:val="single" w:sz="12" w:space="0" w:color="0070C0"/>
              <w:right w:val="single" w:sz="12" w:space="0" w:color="0070C0"/>
            </w:tcBorders>
            <w:shd w:val="clear" w:color="auto" w:fill="auto"/>
            <w:noWrap/>
            <w:vAlign w:val="center"/>
            <w:hideMark/>
          </w:tcPr>
          <w:p w:rsidR="008F715D" w:rsidRPr="00C4618B" w:rsidRDefault="008F715D" w:rsidP="002105A0">
            <w:pPr>
              <w:jc w:val="center"/>
              <w:rPr>
                <w:b/>
                <w:bCs/>
                <w:color w:val="000000"/>
                <w:sz w:val="20"/>
                <w:szCs w:val="20"/>
              </w:rPr>
            </w:pPr>
            <w:r w:rsidRPr="00C4618B">
              <w:rPr>
                <w:b/>
                <w:bCs/>
                <w:color w:val="000000"/>
                <w:sz w:val="20"/>
                <w:szCs w:val="20"/>
              </w:rPr>
              <w:t>100,0</w:t>
            </w:r>
          </w:p>
        </w:tc>
      </w:tr>
    </w:tbl>
    <w:p w:rsidR="008F715D" w:rsidRPr="00CF1C8D" w:rsidRDefault="008F715D" w:rsidP="008F715D">
      <w:pPr>
        <w:spacing w:after="120"/>
        <w:jc w:val="both"/>
        <w:rPr>
          <w:rFonts w:eastAsia="Arial Unicode MS"/>
          <w:sz w:val="20"/>
          <w:szCs w:val="20"/>
        </w:rPr>
      </w:pPr>
      <w:r w:rsidRPr="00CF1C8D">
        <w:rPr>
          <w:rFonts w:eastAsia="Arial Unicode MS"/>
          <w:sz w:val="20"/>
          <w:szCs w:val="20"/>
        </w:rPr>
        <w:t>Source : DGD</w:t>
      </w:r>
    </w:p>
    <w:p w:rsidR="008F715D" w:rsidRDefault="008F715D" w:rsidP="008F715D">
      <w:pPr>
        <w:spacing w:after="240"/>
        <w:jc w:val="both"/>
      </w:pPr>
      <w:r w:rsidRPr="002205E6">
        <w:t>Les décaissements auprès des bailleurs commerciaux sont provenus de Industrial and Commercial Bank of China(ICBC), de la Société Générale, de la Deutsche Bank SA et  d’Unicrédit et ont été orientés vers les projets suivant:</w:t>
      </w:r>
    </w:p>
    <w:p w:rsidR="008F715D" w:rsidRPr="0058651B" w:rsidRDefault="008F715D" w:rsidP="008F715D">
      <w:pPr>
        <w:pStyle w:val="Paragraphedeliste"/>
        <w:numPr>
          <w:ilvl w:val="0"/>
          <w:numId w:val="4"/>
        </w:numPr>
        <w:rPr>
          <w:rFonts w:ascii="Times New Roman" w:hAnsi="Times New Roman"/>
          <w:sz w:val="24"/>
          <w:szCs w:val="24"/>
        </w:rPr>
      </w:pPr>
      <w:r w:rsidRPr="0058651B">
        <w:rPr>
          <w:rFonts w:ascii="Times New Roman" w:hAnsi="Times New Roman"/>
          <w:sz w:val="24"/>
          <w:szCs w:val="24"/>
        </w:rPr>
        <w:t xml:space="preserve"> Construction Stade d’Oyem</w:t>
      </w:r>
    </w:p>
    <w:p w:rsidR="008F715D" w:rsidRDefault="008F715D" w:rsidP="008F715D">
      <w:pPr>
        <w:pStyle w:val="Paragraphedeliste"/>
        <w:numPr>
          <w:ilvl w:val="0"/>
          <w:numId w:val="4"/>
        </w:numPr>
        <w:rPr>
          <w:rFonts w:ascii="Times New Roman" w:hAnsi="Times New Roman"/>
          <w:sz w:val="24"/>
          <w:szCs w:val="24"/>
        </w:rPr>
      </w:pPr>
      <w:r w:rsidRPr="000306B6">
        <w:rPr>
          <w:rFonts w:ascii="Times New Roman" w:hAnsi="Times New Roman"/>
          <w:sz w:val="24"/>
          <w:szCs w:val="24"/>
        </w:rPr>
        <w:t xml:space="preserve">Axe Routier PK 12-Bifoun </w:t>
      </w:r>
    </w:p>
    <w:p w:rsidR="008F715D" w:rsidRDefault="008F715D" w:rsidP="008F715D">
      <w:pPr>
        <w:pStyle w:val="Paragraphedeliste"/>
        <w:numPr>
          <w:ilvl w:val="0"/>
          <w:numId w:val="4"/>
        </w:numPr>
        <w:rPr>
          <w:rFonts w:ascii="Times New Roman" w:hAnsi="Times New Roman"/>
          <w:sz w:val="24"/>
          <w:szCs w:val="24"/>
        </w:rPr>
      </w:pPr>
      <w:r w:rsidRPr="0058651B">
        <w:rPr>
          <w:rFonts w:ascii="Times New Roman" w:hAnsi="Times New Roman"/>
          <w:sz w:val="24"/>
          <w:szCs w:val="24"/>
        </w:rPr>
        <w:t xml:space="preserve"> Acquisition de matériels et équipements de sécurité  </w:t>
      </w:r>
    </w:p>
    <w:p w:rsidR="008F715D" w:rsidRPr="0058651B" w:rsidRDefault="008F715D" w:rsidP="008F715D">
      <w:pPr>
        <w:pStyle w:val="Paragraphedeliste"/>
        <w:numPr>
          <w:ilvl w:val="0"/>
          <w:numId w:val="4"/>
        </w:numPr>
        <w:rPr>
          <w:rFonts w:ascii="Times New Roman" w:hAnsi="Times New Roman"/>
          <w:sz w:val="24"/>
          <w:szCs w:val="24"/>
        </w:rPr>
      </w:pPr>
      <w:r>
        <w:rPr>
          <w:rFonts w:ascii="Times New Roman" w:hAnsi="Times New Roman"/>
          <w:sz w:val="24"/>
          <w:szCs w:val="24"/>
        </w:rPr>
        <w:t>CHU Mère-Enfant</w:t>
      </w:r>
    </w:p>
    <w:p w:rsidR="008F715D" w:rsidRDefault="008F715D" w:rsidP="008F715D">
      <w:pPr>
        <w:jc w:val="both"/>
      </w:pPr>
      <w:r w:rsidRPr="002205E6">
        <w:t>Les décaissements auprès des bailleurs bilatéraux ont été effectués auprès d’</w:t>
      </w:r>
      <w:r w:rsidRPr="002205E6">
        <w:rPr>
          <w:rFonts w:eastAsia="Calibri"/>
        </w:rPr>
        <w:t>Eximbank of China</w:t>
      </w:r>
      <w:r w:rsidRPr="002205E6">
        <w:t xml:space="preserve"> et de l’Agence Française de Développement. Les </w:t>
      </w:r>
      <w:r w:rsidRPr="002205E6">
        <w:rPr>
          <w:rFonts w:eastAsia="Calibri"/>
        </w:rPr>
        <w:t xml:space="preserve"> projet</w:t>
      </w:r>
      <w:r w:rsidRPr="002205E6">
        <w:t>s ayant bénéficié de ces financements ont été les suivant :</w:t>
      </w:r>
    </w:p>
    <w:p w:rsidR="008F715D" w:rsidRDefault="008F715D" w:rsidP="008F715D">
      <w:pPr>
        <w:jc w:val="both"/>
      </w:pPr>
    </w:p>
    <w:p w:rsidR="008F715D" w:rsidRDefault="008F715D" w:rsidP="008F715D">
      <w:pPr>
        <w:pStyle w:val="Paragraphedeliste"/>
        <w:numPr>
          <w:ilvl w:val="0"/>
          <w:numId w:val="5"/>
        </w:numPr>
        <w:spacing w:after="0"/>
        <w:jc w:val="both"/>
        <w:rPr>
          <w:rFonts w:ascii="Times New Roman" w:hAnsi="Times New Roman"/>
          <w:sz w:val="24"/>
          <w:szCs w:val="24"/>
        </w:rPr>
      </w:pPr>
      <w:r>
        <w:rPr>
          <w:rFonts w:ascii="Times New Roman" w:hAnsi="Times New Roman"/>
          <w:sz w:val="24"/>
          <w:szCs w:val="24"/>
        </w:rPr>
        <w:t>La c</w:t>
      </w:r>
      <w:r w:rsidRPr="006C385C">
        <w:rPr>
          <w:rFonts w:ascii="Times New Roman" w:hAnsi="Times New Roman"/>
          <w:sz w:val="24"/>
          <w:szCs w:val="24"/>
        </w:rPr>
        <w:t>onstruction de la r</w:t>
      </w:r>
      <w:r>
        <w:rPr>
          <w:rFonts w:ascii="Times New Roman" w:hAnsi="Times New Roman"/>
          <w:sz w:val="24"/>
          <w:szCs w:val="24"/>
        </w:rPr>
        <w:t xml:space="preserve">oute Port-Gentil – </w:t>
      </w:r>
      <w:r w:rsidRPr="005E3B1C">
        <w:rPr>
          <w:rFonts w:ascii="Times New Roman" w:hAnsi="Times New Roman"/>
          <w:sz w:val="24"/>
          <w:szCs w:val="24"/>
        </w:rPr>
        <w:t>Omboué</w:t>
      </w:r>
      <w:r>
        <w:rPr>
          <w:rFonts w:ascii="Times New Roman" w:hAnsi="Times New Roman"/>
          <w:sz w:val="24"/>
          <w:szCs w:val="24"/>
        </w:rPr>
        <w:t> ;</w:t>
      </w:r>
    </w:p>
    <w:p w:rsidR="008F715D" w:rsidRPr="00D0005B" w:rsidRDefault="008F715D" w:rsidP="008F715D">
      <w:pPr>
        <w:pStyle w:val="Paragraphedeliste"/>
        <w:numPr>
          <w:ilvl w:val="0"/>
          <w:numId w:val="5"/>
        </w:numPr>
        <w:spacing w:after="0"/>
        <w:jc w:val="both"/>
        <w:rPr>
          <w:rFonts w:ascii="Times New Roman" w:hAnsi="Times New Roman"/>
          <w:sz w:val="24"/>
          <w:szCs w:val="24"/>
        </w:rPr>
      </w:pPr>
      <w:r w:rsidRPr="00D0005B">
        <w:rPr>
          <w:rFonts w:ascii="Times New Roman" w:hAnsi="Times New Roman"/>
          <w:sz w:val="24"/>
          <w:szCs w:val="24"/>
        </w:rPr>
        <w:t>Le pont sur l’Ogooué à Booué</w:t>
      </w:r>
      <w:r>
        <w:rPr>
          <w:rFonts w:ascii="Times New Roman" w:hAnsi="Times New Roman"/>
          <w:sz w:val="24"/>
          <w:szCs w:val="24"/>
        </w:rPr>
        <w:t> ;</w:t>
      </w:r>
      <w:r w:rsidRPr="00D0005B">
        <w:rPr>
          <w:rFonts w:ascii="Times New Roman" w:hAnsi="Times New Roman"/>
          <w:sz w:val="24"/>
          <w:szCs w:val="24"/>
        </w:rPr>
        <w:t xml:space="preserve"> </w:t>
      </w:r>
    </w:p>
    <w:p w:rsidR="008F715D" w:rsidRPr="004A1B82" w:rsidRDefault="008F715D" w:rsidP="008F715D">
      <w:pPr>
        <w:pStyle w:val="Paragraphedeliste"/>
        <w:numPr>
          <w:ilvl w:val="0"/>
          <w:numId w:val="5"/>
        </w:numPr>
        <w:spacing w:after="0"/>
        <w:jc w:val="both"/>
        <w:rPr>
          <w:rFonts w:ascii="Times New Roman" w:hAnsi="Times New Roman"/>
          <w:sz w:val="24"/>
          <w:szCs w:val="24"/>
        </w:rPr>
      </w:pPr>
      <w:r>
        <w:rPr>
          <w:rFonts w:ascii="Times New Roman" w:hAnsi="Times New Roman"/>
          <w:sz w:val="24"/>
          <w:szCs w:val="24"/>
        </w:rPr>
        <w:t>La r</w:t>
      </w:r>
      <w:r w:rsidRPr="004A1B82">
        <w:rPr>
          <w:rFonts w:ascii="Times New Roman" w:hAnsi="Times New Roman"/>
          <w:sz w:val="24"/>
          <w:szCs w:val="24"/>
        </w:rPr>
        <w:t>éhabilitation du tronçon Ndjolé-Médoumane</w:t>
      </w:r>
      <w:r>
        <w:rPr>
          <w:rFonts w:ascii="Times New Roman" w:hAnsi="Times New Roman"/>
          <w:sz w:val="24"/>
          <w:szCs w:val="24"/>
        </w:rPr>
        <w:t> ;</w:t>
      </w:r>
      <w:r w:rsidRPr="004A1B82">
        <w:rPr>
          <w:rFonts w:ascii="Times New Roman" w:hAnsi="Times New Roman"/>
          <w:sz w:val="24"/>
          <w:szCs w:val="24"/>
        </w:rPr>
        <w:t> </w:t>
      </w:r>
    </w:p>
    <w:p w:rsidR="008F715D" w:rsidRPr="004A1B82" w:rsidRDefault="008F715D" w:rsidP="008F715D">
      <w:pPr>
        <w:pStyle w:val="Paragraphedeliste"/>
        <w:numPr>
          <w:ilvl w:val="0"/>
          <w:numId w:val="5"/>
        </w:numPr>
        <w:spacing w:after="0"/>
        <w:jc w:val="both"/>
        <w:rPr>
          <w:rFonts w:ascii="Times New Roman" w:hAnsi="Times New Roman"/>
          <w:sz w:val="24"/>
          <w:szCs w:val="24"/>
        </w:rPr>
      </w:pPr>
      <w:r>
        <w:rPr>
          <w:rFonts w:ascii="Times New Roman" w:hAnsi="Times New Roman"/>
          <w:sz w:val="24"/>
          <w:szCs w:val="24"/>
        </w:rPr>
        <w:t xml:space="preserve">Le </w:t>
      </w:r>
      <w:r w:rsidRPr="004A1B82">
        <w:rPr>
          <w:rFonts w:ascii="Times New Roman" w:hAnsi="Times New Roman"/>
          <w:sz w:val="24"/>
          <w:szCs w:val="24"/>
        </w:rPr>
        <w:t>Proj</w:t>
      </w:r>
      <w:r>
        <w:rPr>
          <w:rFonts w:ascii="Times New Roman" w:hAnsi="Times New Roman"/>
          <w:sz w:val="24"/>
          <w:szCs w:val="24"/>
        </w:rPr>
        <w:t>et de développement agricole ; </w:t>
      </w:r>
    </w:p>
    <w:p w:rsidR="008F715D" w:rsidRPr="004A1B82" w:rsidRDefault="008F715D" w:rsidP="008F715D">
      <w:pPr>
        <w:pStyle w:val="Paragraphedeliste"/>
        <w:numPr>
          <w:ilvl w:val="0"/>
          <w:numId w:val="5"/>
        </w:numPr>
        <w:spacing w:after="0"/>
        <w:jc w:val="both"/>
        <w:rPr>
          <w:rFonts w:ascii="Times New Roman" w:hAnsi="Times New Roman"/>
          <w:sz w:val="24"/>
          <w:szCs w:val="24"/>
        </w:rPr>
      </w:pPr>
      <w:r>
        <w:rPr>
          <w:rFonts w:ascii="Times New Roman" w:hAnsi="Times New Roman"/>
          <w:sz w:val="24"/>
          <w:szCs w:val="24"/>
        </w:rPr>
        <w:t>L’a</w:t>
      </w:r>
      <w:r w:rsidRPr="004A1B82">
        <w:rPr>
          <w:rFonts w:ascii="Times New Roman" w:hAnsi="Times New Roman"/>
          <w:sz w:val="24"/>
          <w:szCs w:val="24"/>
        </w:rPr>
        <w:t>ménagement du bassin versant Gué-Gué</w:t>
      </w:r>
      <w:r>
        <w:rPr>
          <w:rFonts w:ascii="Times New Roman" w:hAnsi="Times New Roman"/>
          <w:sz w:val="24"/>
          <w:szCs w:val="24"/>
        </w:rPr>
        <w:t> ; </w:t>
      </w:r>
    </w:p>
    <w:p w:rsidR="008F715D" w:rsidRDefault="008F715D" w:rsidP="008F715D">
      <w:pPr>
        <w:pStyle w:val="Paragraphedeliste"/>
        <w:numPr>
          <w:ilvl w:val="0"/>
          <w:numId w:val="5"/>
        </w:numPr>
        <w:spacing w:after="0"/>
        <w:jc w:val="both"/>
        <w:rPr>
          <w:rFonts w:ascii="Times New Roman" w:hAnsi="Times New Roman"/>
          <w:sz w:val="24"/>
          <w:szCs w:val="24"/>
        </w:rPr>
      </w:pPr>
      <w:r>
        <w:rPr>
          <w:rFonts w:ascii="Times New Roman" w:hAnsi="Times New Roman"/>
          <w:sz w:val="24"/>
          <w:szCs w:val="24"/>
        </w:rPr>
        <w:t>L’a</w:t>
      </w:r>
      <w:r w:rsidRPr="004A1B82">
        <w:rPr>
          <w:rFonts w:ascii="Times New Roman" w:hAnsi="Times New Roman"/>
          <w:sz w:val="24"/>
          <w:szCs w:val="24"/>
        </w:rPr>
        <w:t>ssainissement de la ville de Port gentil</w:t>
      </w:r>
      <w:r>
        <w:rPr>
          <w:rFonts w:ascii="Times New Roman" w:hAnsi="Times New Roman"/>
          <w:sz w:val="24"/>
          <w:szCs w:val="24"/>
        </w:rPr>
        <w:t>.</w:t>
      </w:r>
    </w:p>
    <w:p w:rsidR="008F715D" w:rsidRDefault="008F715D" w:rsidP="008F715D">
      <w:pPr>
        <w:pStyle w:val="Paragraphedeliste"/>
        <w:spacing w:after="0"/>
        <w:jc w:val="both"/>
        <w:rPr>
          <w:rFonts w:ascii="Times New Roman" w:hAnsi="Times New Roman"/>
          <w:sz w:val="24"/>
          <w:szCs w:val="24"/>
        </w:rPr>
      </w:pPr>
    </w:p>
    <w:p w:rsidR="008F715D" w:rsidRPr="006C385C" w:rsidRDefault="008F715D" w:rsidP="008F715D">
      <w:pPr>
        <w:pStyle w:val="Paragraphedeliste"/>
        <w:spacing w:after="0"/>
        <w:jc w:val="both"/>
        <w:rPr>
          <w:rFonts w:ascii="Times New Roman" w:hAnsi="Times New Roman"/>
          <w:sz w:val="24"/>
          <w:szCs w:val="24"/>
        </w:rPr>
      </w:pPr>
      <w:r w:rsidRPr="004A1B82">
        <w:rPr>
          <w:rFonts w:ascii="Times New Roman" w:hAnsi="Times New Roman"/>
          <w:sz w:val="24"/>
          <w:szCs w:val="24"/>
        </w:rPr>
        <w:t> </w:t>
      </w:r>
    </w:p>
    <w:p w:rsidR="008F715D" w:rsidRDefault="008F715D" w:rsidP="008F715D">
      <w:pPr>
        <w:jc w:val="both"/>
        <w:rPr>
          <w:color w:val="000000"/>
        </w:rPr>
      </w:pPr>
      <w:r w:rsidRPr="000306B6">
        <w:t>Les décaissements auprès des bailleurs de fonds multilatéraux proviennent de la Banque Mondiale</w:t>
      </w:r>
      <w:r>
        <w:t xml:space="preserve">, de </w:t>
      </w:r>
      <w:r w:rsidRPr="00F23BAA">
        <w:rPr>
          <w:rFonts w:eastAsia="Calibri"/>
        </w:rPr>
        <w:t>la Banque de Développement des Eta</w:t>
      </w:r>
      <w:r>
        <w:t xml:space="preserve">ts de l’Afrique centrale, </w:t>
      </w:r>
      <w:r w:rsidRPr="00F23BAA">
        <w:t xml:space="preserve">du </w:t>
      </w:r>
      <w:r w:rsidRPr="00F23BAA">
        <w:rPr>
          <w:rFonts w:eastAsia="Calibri"/>
        </w:rPr>
        <w:t>Fonds International de Développement Agricole</w:t>
      </w:r>
      <w:r>
        <w:rPr>
          <w:rFonts w:eastAsia="Calibri"/>
        </w:rPr>
        <w:t xml:space="preserve"> </w:t>
      </w:r>
      <w:r w:rsidRPr="000306B6">
        <w:t>et  ont été orientés vers trois</w:t>
      </w:r>
      <w:r>
        <w:t xml:space="preserve"> </w:t>
      </w:r>
      <w:r w:rsidRPr="000306B6">
        <w:t>(3) projets, à savoir</w:t>
      </w:r>
      <w:r w:rsidRPr="00A34286">
        <w:rPr>
          <w:rFonts w:ascii="Calibri" w:eastAsia="Calibri" w:hAnsi="Calibri"/>
          <w:color w:val="000000"/>
          <w:sz w:val="26"/>
          <w:szCs w:val="26"/>
        </w:rPr>
        <w:t> </w:t>
      </w:r>
      <w:r w:rsidRPr="000306B6">
        <w:rPr>
          <w:color w:val="000000"/>
        </w:rPr>
        <w:t>:</w:t>
      </w:r>
    </w:p>
    <w:p w:rsidR="008F715D" w:rsidRPr="00F23BAA" w:rsidRDefault="008F715D" w:rsidP="008F715D">
      <w:pPr>
        <w:jc w:val="both"/>
        <w:rPr>
          <w:color w:val="000000"/>
          <w:sz w:val="26"/>
          <w:szCs w:val="26"/>
        </w:rPr>
      </w:pPr>
    </w:p>
    <w:p w:rsidR="008F715D" w:rsidRDefault="008F715D" w:rsidP="008F715D">
      <w:pPr>
        <w:pStyle w:val="Paragraphedeliste"/>
        <w:numPr>
          <w:ilvl w:val="0"/>
          <w:numId w:val="3"/>
        </w:numPr>
        <w:rPr>
          <w:rFonts w:ascii="Times New Roman" w:hAnsi="Times New Roman"/>
          <w:sz w:val="24"/>
          <w:szCs w:val="24"/>
        </w:rPr>
      </w:pPr>
      <w:r>
        <w:rPr>
          <w:rFonts w:ascii="Times New Roman" w:hAnsi="Times New Roman"/>
          <w:sz w:val="24"/>
          <w:szCs w:val="24"/>
        </w:rPr>
        <w:lastRenderedPageBreak/>
        <w:t>Aménagement de Bassins Versants ;</w:t>
      </w:r>
    </w:p>
    <w:p w:rsidR="008F715D" w:rsidRDefault="008F715D" w:rsidP="008F715D">
      <w:pPr>
        <w:pStyle w:val="Paragraphedeliste"/>
        <w:numPr>
          <w:ilvl w:val="0"/>
          <w:numId w:val="3"/>
        </w:numPr>
        <w:rPr>
          <w:rFonts w:ascii="Times New Roman" w:hAnsi="Times New Roman"/>
          <w:sz w:val="24"/>
          <w:szCs w:val="24"/>
        </w:rPr>
      </w:pPr>
      <w:r w:rsidRPr="00F23BAA">
        <w:rPr>
          <w:rFonts w:ascii="Times New Roman" w:hAnsi="Times New Roman"/>
          <w:sz w:val="24"/>
          <w:szCs w:val="24"/>
        </w:rPr>
        <w:t>La Dorsale de Télécommunication</w:t>
      </w:r>
      <w:r>
        <w:rPr>
          <w:rFonts w:ascii="Times New Roman" w:hAnsi="Times New Roman"/>
          <w:sz w:val="24"/>
          <w:szCs w:val="24"/>
        </w:rPr>
        <w:t> ;</w:t>
      </w:r>
      <w:r w:rsidRPr="00F23BAA">
        <w:rPr>
          <w:rFonts w:ascii="Times New Roman" w:hAnsi="Times New Roman"/>
          <w:sz w:val="24"/>
          <w:szCs w:val="24"/>
        </w:rPr>
        <w:t xml:space="preserve"> </w:t>
      </w:r>
    </w:p>
    <w:p w:rsidR="008F715D" w:rsidRPr="005E3B1C" w:rsidRDefault="008F715D" w:rsidP="008F715D">
      <w:pPr>
        <w:pStyle w:val="Paragraphedeliste"/>
        <w:numPr>
          <w:ilvl w:val="0"/>
          <w:numId w:val="3"/>
        </w:numPr>
        <w:rPr>
          <w:rFonts w:ascii="Times New Roman" w:hAnsi="Times New Roman"/>
          <w:sz w:val="24"/>
          <w:szCs w:val="24"/>
        </w:rPr>
      </w:pPr>
      <w:r>
        <w:rPr>
          <w:rFonts w:ascii="Times New Roman" w:hAnsi="Times New Roman"/>
          <w:sz w:val="24"/>
          <w:szCs w:val="24"/>
        </w:rPr>
        <w:t xml:space="preserve">Le </w:t>
      </w:r>
      <w:r w:rsidRPr="005E3B1C">
        <w:rPr>
          <w:rFonts w:ascii="Times New Roman" w:hAnsi="Times New Roman"/>
          <w:sz w:val="24"/>
          <w:szCs w:val="24"/>
        </w:rPr>
        <w:t>Développement Agricole Rural</w:t>
      </w:r>
      <w:r>
        <w:rPr>
          <w:rFonts w:ascii="Times New Roman" w:hAnsi="Times New Roman"/>
          <w:sz w:val="24"/>
          <w:szCs w:val="24"/>
        </w:rPr>
        <w:t>.</w:t>
      </w:r>
    </w:p>
    <w:p w:rsidR="008F715D" w:rsidRPr="0097597D" w:rsidRDefault="008F715D" w:rsidP="008F715D">
      <w:pPr>
        <w:pStyle w:val="Titre3"/>
        <w:ind w:firstLine="0"/>
        <w:rPr>
          <w:b/>
          <w:bCs/>
          <w:i/>
          <w:iCs/>
          <w:color w:val="0000FF"/>
          <w:sz w:val="24"/>
        </w:rPr>
      </w:pPr>
      <w:bookmarkStart w:id="294" w:name="_Toc462990874"/>
      <w:r w:rsidRPr="0097597D">
        <w:rPr>
          <w:b/>
          <w:bCs/>
          <w:i/>
          <w:iCs/>
          <w:color w:val="0000FF"/>
          <w:sz w:val="24"/>
        </w:rPr>
        <w:t>III.4.3. L’évolution du stock de la dette</w:t>
      </w:r>
      <w:bookmarkEnd w:id="294"/>
      <w:r w:rsidRPr="0097597D">
        <w:rPr>
          <w:b/>
          <w:bCs/>
          <w:i/>
          <w:iCs/>
          <w:color w:val="0000FF"/>
          <w:sz w:val="24"/>
        </w:rPr>
        <w:t xml:space="preserve"> </w:t>
      </w:r>
    </w:p>
    <w:p w:rsidR="008F715D" w:rsidRPr="00B4699D" w:rsidRDefault="008F715D" w:rsidP="008F715D">
      <w:pPr>
        <w:spacing w:after="240"/>
        <w:rPr>
          <w:bCs/>
          <w:iCs/>
        </w:rPr>
      </w:pPr>
    </w:p>
    <w:p w:rsidR="008F715D" w:rsidRDefault="008F715D" w:rsidP="008F715D">
      <w:pPr>
        <w:spacing w:after="240"/>
        <w:jc w:val="both"/>
      </w:pPr>
      <w:r w:rsidRPr="000306B6">
        <w:t xml:space="preserve">En 2016, le stock de la dette publique a augmenté de </w:t>
      </w:r>
      <w:r w:rsidRPr="00946095">
        <w:t>5,5</w:t>
      </w:r>
      <w:r w:rsidRPr="00326AE2">
        <w:t>%</w:t>
      </w:r>
      <w:r>
        <w:t xml:space="preserve"> </w:t>
      </w:r>
      <w:r w:rsidRPr="000306B6">
        <w:t xml:space="preserve">pour atteindre </w:t>
      </w:r>
      <w:r w:rsidRPr="00946095">
        <w:t>3259,</w:t>
      </w:r>
      <w:r>
        <w:t>4</w:t>
      </w:r>
      <w:r w:rsidRPr="000306B6">
        <w:t xml:space="preserve"> milliards de FCFA. Cet</w:t>
      </w:r>
      <w:r>
        <w:t xml:space="preserve">te évolution s’explique par la hausse de la dette </w:t>
      </w:r>
      <w:r w:rsidRPr="000306B6">
        <w:t xml:space="preserve">intérieure </w:t>
      </w:r>
      <w:r w:rsidRPr="00180B56">
        <w:rPr>
          <w:color w:val="000000" w:themeColor="text1"/>
        </w:rPr>
        <w:t>(</w:t>
      </w:r>
      <w:r>
        <w:rPr>
          <w:color w:val="000000" w:themeColor="text1"/>
        </w:rPr>
        <w:t>+</w:t>
      </w:r>
      <w:r w:rsidRPr="00180B56">
        <w:rPr>
          <w:color w:val="000000" w:themeColor="text1"/>
        </w:rPr>
        <w:t>87,9%)</w:t>
      </w:r>
      <w:r>
        <w:t xml:space="preserve"> en dépit de la légère baisse de la dette extérieure (-0,6%)</w:t>
      </w:r>
      <w:r w:rsidRPr="00326AE2">
        <w:t>.</w:t>
      </w:r>
    </w:p>
    <w:p w:rsidR="008F715D" w:rsidRPr="000306B6" w:rsidRDefault="008F715D" w:rsidP="008F715D">
      <w:pPr>
        <w:spacing w:after="240"/>
        <w:jc w:val="both"/>
      </w:pPr>
      <w:r>
        <w:t xml:space="preserve">La dette extérieure a </w:t>
      </w:r>
      <w:r w:rsidRPr="005E3B1C">
        <w:t>légèrement diminué</w:t>
      </w:r>
      <w:r>
        <w:t xml:space="preserve"> de 0,6% suite </w:t>
      </w:r>
      <w:r w:rsidRPr="007E5AB7">
        <w:t xml:space="preserve">au repli de 8,6% des fonds commerciaux </w:t>
      </w:r>
      <w:r w:rsidRPr="00DC465D">
        <w:t>hormis l’ensemble des composantes dont les engagements nets ont été renforcés.</w:t>
      </w:r>
    </w:p>
    <w:p w:rsidR="008F715D" w:rsidRPr="000306B6" w:rsidRDefault="008F715D" w:rsidP="008F715D">
      <w:pPr>
        <w:spacing w:after="240"/>
        <w:jc w:val="both"/>
      </w:pPr>
      <w:r>
        <w:t>La hausse de la dette intérieure</w:t>
      </w:r>
      <w:r w:rsidRPr="000306B6">
        <w:t xml:space="preserve"> </w:t>
      </w:r>
      <w:r>
        <w:t xml:space="preserve">est provenue </w:t>
      </w:r>
      <w:r w:rsidRPr="000306B6">
        <w:t>du relèvement des emprunts envers le march</w:t>
      </w:r>
      <w:r>
        <w:t xml:space="preserve">é financier </w:t>
      </w:r>
      <w:r w:rsidRPr="000306B6">
        <w:t xml:space="preserve">national </w:t>
      </w:r>
      <w:r w:rsidRPr="00326AE2">
        <w:t>(</w:t>
      </w:r>
      <w:r w:rsidRPr="009353AB">
        <w:t>+</w:t>
      </w:r>
      <w:r>
        <w:t>300,7</w:t>
      </w:r>
      <w:r w:rsidRPr="00326AE2">
        <w:t>%),</w:t>
      </w:r>
      <w:r w:rsidRPr="000306B6">
        <w:t xml:space="preserve"> des emprunts bilatéraux </w:t>
      </w:r>
      <w:r w:rsidRPr="00326AE2">
        <w:t>(</w:t>
      </w:r>
      <w:r>
        <w:t>+</w:t>
      </w:r>
      <w:r w:rsidRPr="00946095">
        <w:t>179,1</w:t>
      </w:r>
      <w:r w:rsidRPr="00326AE2">
        <w:t>%)</w:t>
      </w:r>
      <w:r>
        <w:t xml:space="preserve"> malgré</w:t>
      </w:r>
      <w:r w:rsidRPr="000306B6">
        <w:t xml:space="preserve"> la baisse de la dette moratoire</w:t>
      </w:r>
      <w:r>
        <w:t xml:space="preserve"> (-22,1%)</w:t>
      </w:r>
      <w:r w:rsidRPr="009353AB">
        <w:t>.</w:t>
      </w:r>
      <w:r w:rsidRPr="000306B6">
        <w:t xml:space="preserve"> Enfin,</w:t>
      </w:r>
      <w:r>
        <w:t xml:space="preserve"> la structure du portefeuille de la dette publique au premier semestre 2016 est  de </w:t>
      </w:r>
      <w:r w:rsidRPr="00024C40">
        <w:t>87,8</w:t>
      </w:r>
      <w:r>
        <w:t>% de dette extérieure et de 12,2% de dette intérieure contre 93,1% de dette extérieure et 6,8% de dette  intérieure au premier semestre 2015</w:t>
      </w:r>
      <w:r w:rsidRPr="000306B6">
        <w:t>.</w:t>
      </w:r>
    </w:p>
    <w:p w:rsidR="008F715D" w:rsidRDefault="008F715D" w:rsidP="008F715D">
      <w:pPr>
        <w:spacing w:after="240"/>
        <w:rPr>
          <w:b/>
          <w:bCs/>
          <w:i/>
          <w:iCs/>
        </w:rPr>
      </w:pPr>
      <w:r w:rsidRPr="00BD21BC">
        <w:rPr>
          <w:b/>
          <w:bCs/>
          <w:i/>
          <w:iCs/>
        </w:rPr>
        <w:t>Evolution du stock de la dette</w:t>
      </w:r>
    </w:p>
    <w:tbl>
      <w:tblPr>
        <w:tblW w:w="8838" w:type="dxa"/>
        <w:tblInd w:w="55" w:type="dxa"/>
        <w:tblCellMar>
          <w:left w:w="70" w:type="dxa"/>
          <w:right w:w="70" w:type="dxa"/>
        </w:tblCellMar>
        <w:tblLook w:val="04A0"/>
      </w:tblPr>
      <w:tblGrid>
        <w:gridCol w:w="3191"/>
        <w:gridCol w:w="1395"/>
        <w:gridCol w:w="1275"/>
        <w:gridCol w:w="1276"/>
        <w:gridCol w:w="1701"/>
      </w:tblGrid>
      <w:tr w:rsidR="008F715D" w:rsidRPr="00E12D8F" w:rsidTr="002105A0">
        <w:trPr>
          <w:trHeight w:val="330"/>
        </w:trPr>
        <w:tc>
          <w:tcPr>
            <w:tcW w:w="3191" w:type="dxa"/>
            <w:vMerge w:val="restart"/>
            <w:tcBorders>
              <w:top w:val="single" w:sz="12" w:space="0" w:color="0070C0"/>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jc w:val="center"/>
              <w:rPr>
                <w:b/>
                <w:bCs/>
                <w:color w:val="000000"/>
                <w:sz w:val="20"/>
                <w:szCs w:val="20"/>
              </w:rPr>
            </w:pPr>
            <w:r w:rsidRPr="00E12D8F">
              <w:rPr>
                <w:b/>
                <w:bCs/>
                <w:color w:val="000000"/>
                <w:sz w:val="20"/>
                <w:szCs w:val="20"/>
              </w:rPr>
              <w:t>(En milliards de FCFA)</w:t>
            </w:r>
          </w:p>
        </w:tc>
        <w:tc>
          <w:tcPr>
            <w:tcW w:w="2670" w:type="dxa"/>
            <w:gridSpan w:val="2"/>
            <w:tcBorders>
              <w:top w:val="single" w:sz="12" w:space="0" w:color="0070C0"/>
              <w:left w:val="nil"/>
              <w:bottom w:val="single" w:sz="12" w:space="0" w:color="0070C0"/>
              <w:right w:val="single" w:sz="12" w:space="0" w:color="0070C0"/>
            </w:tcBorders>
            <w:shd w:val="clear" w:color="auto" w:fill="auto"/>
            <w:vAlign w:val="center"/>
            <w:hideMark/>
          </w:tcPr>
          <w:p w:rsidR="008F715D" w:rsidRPr="00E12D8F" w:rsidRDefault="008F715D" w:rsidP="002105A0">
            <w:pPr>
              <w:jc w:val="center"/>
              <w:rPr>
                <w:b/>
                <w:bCs/>
                <w:color w:val="000000"/>
                <w:sz w:val="20"/>
                <w:szCs w:val="20"/>
              </w:rPr>
            </w:pPr>
            <w:r>
              <w:rPr>
                <w:b/>
                <w:bCs/>
                <w:color w:val="000000"/>
                <w:sz w:val="20"/>
                <w:szCs w:val="20"/>
              </w:rPr>
              <w:t>Premier semestre</w:t>
            </w:r>
          </w:p>
        </w:tc>
        <w:tc>
          <w:tcPr>
            <w:tcW w:w="1276" w:type="dxa"/>
            <w:vMerge w:val="restart"/>
            <w:tcBorders>
              <w:top w:val="single" w:sz="12" w:space="0" w:color="0070C0"/>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jc w:val="center"/>
              <w:rPr>
                <w:b/>
                <w:bCs/>
                <w:color w:val="000000"/>
                <w:sz w:val="20"/>
                <w:szCs w:val="20"/>
              </w:rPr>
            </w:pPr>
            <w:r w:rsidRPr="00E12D8F">
              <w:rPr>
                <w:b/>
                <w:bCs/>
                <w:color w:val="000000"/>
                <w:sz w:val="20"/>
                <w:szCs w:val="20"/>
              </w:rPr>
              <w:t>Variations (%)</w:t>
            </w:r>
          </w:p>
        </w:tc>
        <w:tc>
          <w:tcPr>
            <w:tcW w:w="1701" w:type="dxa"/>
            <w:vMerge w:val="restart"/>
            <w:tcBorders>
              <w:top w:val="single" w:sz="12" w:space="0" w:color="0070C0"/>
              <w:left w:val="single" w:sz="12" w:space="0" w:color="0070C0"/>
              <w:bottom w:val="single" w:sz="12" w:space="0" w:color="0070C0"/>
              <w:right w:val="single" w:sz="12" w:space="0" w:color="0070C0"/>
            </w:tcBorders>
            <w:shd w:val="clear" w:color="auto" w:fill="auto"/>
            <w:vAlign w:val="center"/>
            <w:hideMark/>
          </w:tcPr>
          <w:p w:rsidR="008F715D" w:rsidRDefault="008F715D" w:rsidP="002105A0">
            <w:pPr>
              <w:jc w:val="center"/>
              <w:rPr>
                <w:b/>
                <w:bCs/>
                <w:color w:val="000000"/>
                <w:sz w:val="20"/>
                <w:szCs w:val="20"/>
              </w:rPr>
            </w:pPr>
            <w:r w:rsidRPr="00E12D8F">
              <w:rPr>
                <w:b/>
                <w:bCs/>
                <w:color w:val="000000"/>
                <w:sz w:val="20"/>
                <w:szCs w:val="20"/>
              </w:rPr>
              <w:t>Poids en 2016</w:t>
            </w:r>
          </w:p>
          <w:p w:rsidR="008F715D" w:rsidRPr="00E12D8F" w:rsidRDefault="008F715D" w:rsidP="002105A0">
            <w:pPr>
              <w:jc w:val="center"/>
              <w:rPr>
                <w:b/>
                <w:bCs/>
                <w:color w:val="000000"/>
                <w:sz w:val="20"/>
                <w:szCs w:val="20"/>
              </w:rPr>
            </w:pPr>
            <w:r>
              <w:rPr>
                <w:b/>
                <w:bCs/>
                <w:color w:val="000000"/>
                <w:sz w:val="20"/>
                <w:szCs w:val="20"/>
              </w:rPr>
              <w:t>(%)</w:t>
            </w:r>
          </w:p>
        </w:tc>
      </w:tr>
      <w:tr w:rsidR="008F715D" w:rsidRPr="00E12D8F" w:rsidTr="002105A0">
        <w:trPr>
          <w:trHeight w:val="330"/>
        </w:trPr>
        <w:tc>
          <w:tcPr>
            <w:tcW w:w="3191" w:type="dxa"/>
            <w:vMerge/>
            <w:tcBorders>
              <w:top w:val="single" w:sz="12" w:space="0" w:color="0070C0"/>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rPr>
                <w:b/>
                <w:bCs/>
                <w:color w:val="000000"/>
                <w:sz w:val="20"/>
                <w:szCs w:val="20"/>
              </w:rPr>
            </w:pPr>
          </w:p>
        </w:tc>
        <w:tc>
          <w:tcPr>
            <w:tcW w:w="1395" w:type="dxa"/>
            <w:tcBorders>
              <w:top w:val="nil"/>
              <w:left w:val="nil"/>
              <w:bottom w:val="single" w:sz="12" w:space="0" w:color="0070C0"/>
              <w:right w:val="single" w:sz="12" w:space="0" w:color="0070C0"/>
            </w:tcBorders>
            <w:shd w:val="clear" w:color="auto" w:fill="auto"/>
            <w:vAlign w:val="center"/>
            <w:hideMark/>
          </w:tcPr>
          <w:p w:rsidR="008F715D" w:rsidRPr="00E12D8F" w:rsidRDefault="008F715D" w:rsidP="002105A0">
            <w:pPr>
              <w:jc w:val="center"/>
              <w:rPr>
                <w:b/>
                <w:bCs/>
                <w:color w:val="000000"/>
                <w:sz w:val="20"/>
                <w:szCs w:val="20"/>
              </w:rPr>
            </w:pPr>
            <w:r w:rsidRPr="00E12D8F">
              <w:rPr>
                <w:b/>
                <w:bCs/>
                <w:color w:val="000000"/>
                <w:sz w:val="20"/>
                <w:szCs w:val="20"/>
              </w:rPr>
              <w:t>2015</w:t>
            </w:r>
          </w:p>
        </w:tc>
        <w:tc>
          <w:tcPr>
            <w:tcW w:w="1275" w:type="dxa"/>
            <w:tcBorders>
              <w:top w:val="nil"/>
              <w:left w:val="nil"/>
              <w:bottom w:val="single" w:sz="12" w:space="0" w:color="0070C0"/>
              <w:right w:val="single" w:sz="12" w:space="0" w:color="0070C0"/>
            </w:tcBorders>
            <w:shd w:val="clear" w:color="auto" w:fill="auto"/>
            <w:vAlign w:val="center"/>
            <w:hideMark/>
          </w:tcPr>
          <w:p w:rsidR="008F715D" w:rsidRPr="00E12D8F" w:rsidRDefault="008F715D" w:rsidP="002105A0">
            <w:pPr>
              <w:jc w:val="center"/>
              <w:rPr>
                <w:b/>
                <w:bCs/>
                <w:color w:val="000000"/>
                <w:sz w:val="20"/>
                <w:szCs w:val="20"/>
              </w:rPr>
            </w:pPr>
            <w:r w:rsidRPr="00E12D8F">
              <w:rPr>
                <w:b/>
                <w:bCs/>
                <w:color w:val="000000"/>
                <w:sz w:val="20"/>
                <w:szCs w:val="20"/>
              </w:rPr>
              <w:t>2016</w:t>
            </w:r>
          </w:p>
        </w:tc>
        <w:tc>
          <w:tcPr>
            <w:tcW w:w="1276" w:type="dxa"/>
            <w:vMerge/>
            <w:tcBorders>
              <w:top w:val="single" w:sz="12" w:space="0" w:color="0070C0"/>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rPr>
                <w:b/>
                <w:bCs/>
                <w:color w:val="000000"/>
                <w:sz w:val="20"/>
                <w:szCs w:val="20"/>
              </w:rPr>
            </w:pPr>
          </w:p>
        </w:tc>
        <w:tc>
          <w:tcPr>
            <w:tcW w:w="1701" w:type="dxa"/>
            <w:vMerge/>
            <w:tcBorders>
              <w:top w:val="single" w:sz="12" w:space="0" w:color="0070C0"/>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rPr>
                <w:b/>
                <w:bCs/>
                <w:color w:val="000000"/>
                <w:sz w:val="20"/>
                <w:szCs w:val="20"/>
              </w:rPr>
            </w:pPr>
          </w:p>
        </w:tc>
      </w:tr>
      <w:tr w:rsidR="008F715D" w:rsidRPr="00E12D8F" w:rsidTr="002105A0">
        <w:trPr>
          <w:trHeight w:val="330"/>
        </w:trPr>
        <w:tc>
          <w:tcPr>
            <w:tcW w:w="3191" w:type="dxa"/>
            <w:tcBorders>
              <w:top w:val="nil"/>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rPr>
                <w:b/>
                <w:bCs/>
                <w:color w:val="000000"/>
                <w:sz w:val="20"/>
                <w:szCs w:val="20"/>
              </w:rPr>
            </w:pPr>
            <w:r w:rsidRPr="00E12D8F">
              <w:rPr>
                <w:b/>
                <w:bCs/>
                <w:color w:val="000000"/>
                <w:sz w:val="20"/>
                <w:szCs w:val="20"/>
              </w:rPr>
              <w:t>Dette extérieure</w:t>
            </w:r>
          </w:p>
        </w:tc>
        <w:tc>
          <w:tcPr>
            <w:tcW w:w="1395" w:type="dxa"/>
            <w:tcBorders>
              <w:top w:val="nil"/>
              <w:left w:val="nil"/>
              <w:bottom w:val="single" w:sz="12" w:space="0" w:color="0070C0"/>
              <w:right w:val="single" w:sz="12" w:space="0" w:color="0070C0"/>
            </w:tcBorders>
            <w:shd w:val="clear" w:color="auto" w:fill="auto"/>
            <w:vAlign w:val="center"/>
            <w:hideMark/>
          </w:tcPr>
          <w:p w:rsidR="008F715D" w:rsidRPr="00E12D8F" w:rsidRDefault="008F715D" w:rsidP="002105A0">
            <w:pPr>
              <w:jc w:val="center"/>
              <w:rPr>
                <w:b/>
                <w:bCs/>
                <w:color w:val="000000"/>
                <w:sz w:val="20"/>
                <w:szCs w:val="20"/>
              </w:rPr>
            </w:pPr>
            <w:r w:rsidRPr="00E12D8F">
              <w:rPr>
                <w:b/>
                <w:bCs/>
                <w:color w:val="000000"/>
                <w:sz w:val="20"/>
                <w:szCs w:val="20"/>
              </w:rPr>
              <w:t>2877,4</w:t>
            </w:r>
          </w:p>
        </w:tc>
        <w:tc>
          <w:tcPr>
            <w:tcW w:w="1275"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b/>
                <w:bCs/>
                <w:color w:val="000000"/>
                <w:sz w:val="20"/>
                <w:szCs w:val="20"/>
              </w:rPr>
            </w:pPr>
            <w:r>
              <w:rPr>
                <w:b/>
                <w:bCs/>
                <w:color w:val="000000"/>
                <w:sz w:val="20"/>
                <w:szCs w:val="20"/>
              </w:rPr>
              <w:t>2860,5</w:t>
            </w:r>
          </w:p>
        </w:tc>
        <w:tc>
          <w:tcPr>
            <w:tcW w:w="1276"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b/>
                <w:bCs/>
                <w:color w:val="000000"/>
                <w:sz w:val="20"/>
                <w:szCs w:val="20"/>
              </w:rPr>
            </w:pPr>
            <w:r>
              <w:rPr>
                <w:b/>
                <w:bCs/>
                <w:color w:val="000000"/>
                <w:sz w:val="20"/>
                <w:szCs w:val="20"/>
              </w:rPr>
              <w:t>-0,6</w:t>
            </w:r>
          </w:p>
        </w:tc>
        <w:tc>
          <w:tcPr>
            <w:tcW w:w="1701"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b/>
                <w:bCs/>
                <w:color w:val="000000"/>
                <w:sz w:val="20"/>
                <w:szCs w:val="20"/>
              </w:rPr>
            </w:pPr>
            <w:r>
              <w:rPr>
                <w:b/>
                <w:bCs/>
                <w:color w:val="000000"/>
                <w:sz w:val="20"/>
                <w:szCs w:val="20"/>
              </w:rPr>
              <w:t>87,8</w:t>
            </w:r>
          </w:p>
        </w:tc>
      </w:tr>
      <w:tr w:rsidR="008F715D" w:rsidRPr="00E12D8F" w:rsidTr="002105A0">
        <w:trPr>
          <w:trHeight w:val="330"/>
        </w:trPr>
        <w:tc>
          <w:tcPr>
            <w:tcW w:w="3191" w:type="dxa"/>
            <w:tcBorders>
              <w:top w:val="nil"/>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rPr>
                <w:color w:val="000000"/>
                <w:sz w:val="20"/>
                <w:szCs w:val="20"/>
              </w:rPr>
            </w:pPr>
            <w:r w:rsidRPr="00E12D8F">
              <w:rPr>
                <w:color w:val="000000"/>
                <w:sz w:val="20"/>
                <w:szCs w:val="20"/>
              </w:rPr>
              <w:t xml:space="preserve">    Multilatérale</w:t>
            </w:r>
          </w:p>
        </w:tc>
        <w:tc>
          <w:tcPr>
            <w:tcW w:w="1395" w:type="dxa"/>
            <w:tcBorders>
              <w:top w:val="nil"/>
              <w:left w:val="nil"/>
              <w:bottom w:val="single" w:sz="12" w:space="0" w:color="0070C0"/>
              <w:right w:val="single" w:sz="12" w:space="0" w:color="0070C0"/>
            </w:tcBorders>
            <w:shd w:val="clear" w:color="auto" w:fill="auto"/>
            <w:vAlign w:val="center"/>
            <w:hideMark/>
          </w:tcPr>
          <w:p w:rsidR="008F715D" w:rsidRPr="00E12D8F" w:rsidRDefault="008F715D" w:rsidP="002105A0">
            <w:pPr>
              <w:jc w:val="center"/>
              <w:rPr>
                <w:color w:val="000000"/>
                <w:sz w:val="20"/>
                <w:szCs w:val="20"/>
              </w:rPr>
            </w:pPr>
            <w:r w:rsidRPr="00E12D8F">
              <w:rPr>
                <w:color w:val="000000"/>
                <w:sz w:val="20"/>
                <w:szCs w:val="20"/>
              </w:rPr>
              <w:t>354,7</w:t>
            </w:r>
          </w:p>
        </w:tc>
        <w:tc>
          <w:tcPr>
            <w:tcW w:w="1275"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364,7</w:t>
            </w:r>
          </w:p>
        </w:tc>
        <w:tc>
          <w:tcPr>
            <w:tcW w:w="1276"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2,8</w:t>
            </w:r>
          </w:p>
        </w:tc>
        <w:tc>
          <w:tcPr>
            <w:tcW w:w="1701"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11,2</w:t>
            </w:r>
          </w:p>
        </w:tc>
      </w:tr>
      <w:tr w:rsidR="008F715D" w:rsidRPr="00E12D8F" w:rsidTr="002105A0">
        <w:trPr>
          <w:trHeight w:val="330"/>
        </w:trPr>
        <w:tc>
          <w:tcPr>
            <w:tcW w:w="3191" w:type="dxa"/>
            <w:tcBorders>
              <w:top w:val="nil"/>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rPr>
                <w:color w:val="000000"/>
                <w:sz w:val="20"/>
                <w:szCs w:val="20"/>
              </w:rPr>
            </w:pPr>
            <w:r w:rsidRPr="00E12D8F">
              <w:rPr>
                <w:color w:val="000000"/>
                <w:sz w:val="20"/>
                <w:szCs w:val="20"/>
              </w:rPr>
              <w:t xml:space="preserve">    Bilatérale</w:t>
            </w:r>
          </w:p>
        </w:tc>
        <w:tc>
          <w:tcPr>
            <w:tcW w:w="1395" w:type="dxa"/>
            <w:tcBorders>
              <w:top w:val="nil"/>
              <w:left w:val="nil"/>
              <w:bottom w:val="single" w:sz="12" w:space="0" w:color="0070C0"/>
              <w:right w:val="single" w:sz="12" w:space="0" w:color="0070C0"/>
            </w:tcBorders>
            <w:shd w:val="clear" w:color="auto" w:fill="auto"/>
            <w:vAlign w:val="center"/>
            <w:hideMark/>
          </w:tcPr>
          <w:p w:rsidR="008F715D" w:rsidRPr="00E12D8F" w:rsidRDefault="008F715D" w:rsidP="002105A0">
            <w:pPr>
              <w:jc w:val="center"/>
              <w:rPr>
                <w:color w:val="000000"/>
                <w:sz w:val="20"/>
                <w:szCs w:val="20"/>
              </w:rPr>
            </w:pPr>
            <w:r w:rsidRPr="00E12D8F">
              <w:rPr>
                <w:color w:val="000000"/>
                <w:sz w:val="20"/>
                <w:szCs w:val="20"/>
              </w:rPr>
              <w:t>701,2</w:t>
            </w:r>
          </w:p>
        </w:tc>
        <w:tc>
          <w:tcPr>
            <w:tcW w:w="1275"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703,3</w:t>
            </w:r>
          </w:p>
        </w:tc>
        <w:tc>
          <w:tcPr>
            <w:tcW w:w="1276"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0,3</w:t>
            </w:r>
          </w:p>
        </w:tc>
        <w:tc>
          <w:tcPr>
            <w:tcW w:w="1701"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21,6</w:t>
            </w:r>
          </w:p>
        </w:tc>
      </w:tr>
      <w:tr w:rsidR="008F715D" w:rsidRPr="00E12D8F" w:rsidTr="002105A0">
        <w:trPr>
          <w:trHeight w:val="330"/>
        </w:trPr>
        <w:tc>
          <w:tcPr>
            <w:tcW w:w="3191" w:type="dxa"/>
            <w:tcBorders>
              <w:top w:val="nil"/>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rPr>
                <w:color w:val="000000"/>
                <w:sz w:val="20"/>
                <w:szCs w:val="20"/>
              </w:rPr>
            </w:pPr>
            <w:r w:rsidRPr="00E12D8F">
              <w:rPr>
                <w:color w:val="000000"/>
                <w:sz w:val="20"/>
                <w:szCs w:val="20"/>
              </w:rPr>
              <w:t xml:space="preserve">    Commerciale</w:t>
            </w:r>
          </w:p>
        </w:tc>
        <w:tc>
          <w:tcPr>
            <w:tcW w:w="1395" w:type="dxa"/>
            <w:tcBorders>
              <w:top w:val="nil"/>
              <w:left w:val="nil"/>
              <w:bottom w:val="single" w:sz="12" w:space="0" w:color="0070C0"/>
              <w:right w:val="single" w:sz="12" w:space="0" w:color="0070C0"/>
            </w:tcBorders>
            <w:shd w:val="clear" w:color="auto" w:fill="auto"/>
            <w:vAlign w:val="center"/>
            <w:hideMark/>
          </w:tcPr>
          <w:p w:rsidR="008F715D" w:rsidRPr="00E12D8F" w:rsidRDefault="008F715D" w:rsidP="002105A0">
            <w:pPr>
              <w:jc w:val="center"/>
              <w:rPr>
                <w:color w:val="000000"/>
                <w:sz w:val="20"/>
                <w:szCs w:val="20"/>
              </w:rPr>
            </w:pPr>
            <w:r w:rsidRPr="00E12D8F">
              <w:rPr>
                <w:color w:val="000000"/>
                <w:sz w:val="20"/>
                <w:szCs w:val="20"/>
              </w:rPr>
              <w:t>549,1</w:t>
            </w:r>
          </w:p>
        </w:tc>
        <w:tc>
          <w:tcPr>
            <w:tcW w:w="1275"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502,0</w:t>
            </w:r>
          </w:p>
        </w:tc>
        <w:tc>
          <w:tcPr>
            <w:tcW w:w="1276"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-8,6</w:t>
            </w:r>
          </w:p>
        </w:tc>
        <w:tc>
          <w:tcPr>
            <w:tcW w:w="1701"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15,4</w:t>
            </w:r>
          </w:p>
        </w:tc>
      </w:tr>
      <w:tr w:rsidR="008F715D" w:rsidRPr="00E12D8F" w:rsidTr="002105A0">
        <w:trPr>
          <w:trHeight w:val="330"/>
        </w:trPr>
        <w:tc>
          <w:tcPr>
            <w:tcW w:w="3191" w:type="dxa"/>
            <w:tcBorders>
              <w:top w:val="nil"/>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rPr>
                <w:color w:val="000000"/>
                <w:sz w:val="20"/>
                <w:szCs w:val="20"/>
              </w:rPr>
            </w:pPr>
            <w:r w:rsidRPr="00E12D8F">
              <w:rPr>
                <w:color w:val="000000"/>
                <w:sz w:val="20"/>
                <w:szCs w:val="20"/>
              </w:rPr>
              <w:t xml:space="preserve">    Marché financier International</w:t>
            </w:r>
          </w:p>
        </w:tc>
        <w:tc>
          <w:tcPr>
            <w:tcW w:w="1395" w:type="dxa"/>
            <w:tcBorders>
              <w:top w:val="nil"/>
              <w:left w:val="nil"/>
              <w:bottom w:val="single" w:sz="12" w:space="0" w:color="0070C0"/>
              <w:right w:val="single" w:sz="12" w:space="0" w:color="0070C0"/>
            </w:tcBorders>
            <w:shd w:val="clear" w:color="auto" w:fill="auto"/>
            <w:vAlign w:val="center"/>
            <w:hideMark/>
          </w:tcPr>
          <w:p w:rsidR="008F715D" w:rsidRPr="00E12D8F" w:rsidRDefault="008F715D" w:rsidP="002105A0">
            <w:pPr>
              <w:jc w:val="center"/>
              <w:rPr>
                <w:color w:val="000000"/>
                <w:sz w:val="20"/>
                <w:szCs w:val="20"/>
              </w:rPr>
            </w:pPr>
            <w:r w:rsidRPr="00E12D8F">
              <w:rPr>
                <w:color w:val="000000"/>
                <w:sz w:val="20"/>
                <w:szCs w:val="20"/>
              </w:rPr>
              <w:t>1272,4</w:t>
            </w:r>
          </w:p>
        </w:tc>
        <w:tc>
          <w:tcPr>
            <w:tcW w:w="1275"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1290,5</w:t>
            </w:r>
          </w:p>
        </w:tc>
        <w:tc>
          <w:tcPr>
            <w:tcW w:w="1276"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1,4</w:t>
            </w:r>
          </w:p>
        </w:tc>
        <w:tc>
          <w:tcPr>
            <w:tcW w:w="1701"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color w:val="000000"/>
                <w:sz w:val="20"/>
                <w:szCs w:val="20"/>
              </w:rPr>
            </w:pPr>
            <w:r>
              <w:rPr>
                <w:color w:val="000000"/>
                <w:sz w:val="20"/>
                <w:szCs w:val="20"/>
              </w:rPr>
              <w:t>39,6</w:t>
            </w:r>
          </w:p>
        </w:tc>
      </w:tr>
      <w:tr w:rsidR="008F715D" w:rsidRPr="00E12D8F" w:rsidTr="002105A0">
        <w:trPr>
          <w:trHeight w:val="330"/>
        </w:trPr>
        <w:tc>
          <w:tcPr>
            <w:tcW w:w="3191" w:type="dxa"/>
            <w:tcBorders>
              <w:top w:val="nil"/>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rPr>
                <w:b/>
                <w:bCs/>
                <w:color w:val="000000"/>
                <w:sz w:val="20"/>
                <w:szCs w:val="20"/>
              </w:rPr>
            </w:pPr>
            <w:r w:rsidRPr="00E12D8F">
              <w:rPr>
                <w:b/>
                <w:bCs/>
                <w:color w:val="000000"/>
                <w:sz w:val="20"/>
                <w:szCs w:val="20"/>
              </w:rPr>
              <w:t>Dette intérieure</w:t>
            </w:r>
          </w:p>
        </w:tc>
        <w:tc>
          <w:tcPr>
            <w:tcW w:w="1395" w:type="dxa"/>
            <w:tcBorders>
              <w:top w:val="nil"/>
              <w:left w:val="nil"/>
              <w:bottom w:val="single" w:sz="12" w:space="0" w:color="0070C0"/>
              <w:right w:val="single" w:sz="12" w:space="0" w:color="0070C0"/>
            </w:tcBorders>
            <w:shd w:val="clear" w:color="auto" w:fill="auto"/>
            <w:vAlign w:val="center"/>
            <w:hideMark/>
          </w:tcPr>
          <w:p w:rsidR="008F715D" w:rsidRPr="00E12D8F" w:rsidRDefault="008F715D" w:rsidP="002105A0">
            <w:pPr>
              <w:jc w:val="center"/>
              <w:rPr>
                <w:b/>
                <w:bCs/>
                <w:color w:val="000000"/>
                <w:sz w:val="20"/>
                <w:szCs w:val="20"/>
              </w:rPr>
            </w:pPr>
            <w:r w:rsidRPr="00E12D8F">
              <w:rPr>
                <w:b/>
                <w:bCs/>
                <w:color w:val="000000"/>
                <w:sz w:val="20"/>
                <w:szCs w:val="20"/>
              </w:rPr>
              <w:t>212,3</w:t>
            </w:r>
          </w:p>
        </w:tc>
        <w:tc>
          <w:tcPr>
            <w:tcW w:w="1275"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b/>
                <w:bCs/>
                <w:color w:val="000000"/>
                <w:sz w:val="20"/>
                <w:szCs w:val="20"/>
              </w:rPr>
            </w:pPr>
            <w:r>
              <w:rPr>
                <w:b/>
                <w:bCs/>
                <w:color w:val="000000"/>
                <w:sz w:val="20"/>
                <w:szCs w:val="20"/>
              </w:rPr>
              <w:t>399,0</w:t>
            </w:r>
          </w:p>
        </w:tc>
        <w:tc>
          <w:tcPr>
            <w:tcW w:w="1276"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b/>
                <w:bCs/>
                <w:color w:val="000000"/>
                <w:sz w:val="20"/>
                <w:szCs w:val="20"/>
              </w:rPr>
            </w:pPr>
            <w:r>
              <w:rPr>
                <w:b/>
                <w:bCs/>
                <w:color w:val="000000"/>
                <w:sz w:val="20"/>
                <w:szCs w:val="20"/>
              </w:rPr>
              <w:t>87,9</w:t>
            </w:r>
          </w:p>
        </w:tc>
        <w:tc>
          <w:tcPr>
            <w:tcW w:w="1701"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b/>
                <w:bCs/>
                <w:color w:val="000000"/>
                <w:sz w:val="20"/>
                <w:szCs w:val="20"/>
              </w:rPr>
            </w:pPr>
            <w:r>
              <w:rPr>
                <w:b/>
                <w:bCs/>
                <w:color w:val="000000"/>
                <w:sz w:val="20"/>
                <w:szCs w:val="20"/>
              </w:rPr>
              <w:t>12,2</w:t>
            </w:r>
          </w:p>
        </w:tc>
      </w:tr>
      <w:tr w:rsidR="008F715D" w:rsidRPr="00E12D8F" w:rsidTr="002105A0">
        <w:trPr>
          <w:trHeight w:val="330"/>
        </w:trPr>
        <w:tc>
          <w:tcPr>
            <w:tcW w:w="3191" w:type="dxa"/>
            <w:tcBorders>
              <w:top w:val="nil"/>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rPr>
                <w:color w:val="000000"/>
                <w:sz w:val="20"/>
                <w:szCs w:val="20"/>
              </w:rPr>
            </w:pPr>
            <w:r w:rsidRPr="00E12D8F">
              <w:rPr>
                <w:color w:val="000000"/>
                <w:sz w:val="20"/>
                <w:szCs w:val="20"/>
              </w:rPr>
              <w:t xml:space="preserve">    Bancaire</w:t>
            </w:r>
          </w:p>
        </w:tc>
        <w:tc>
          <w:tcPr>
            <w:tcW w:w="1395" w:type="dxa"/>
            <w:tcBorders>
              <w:top w:val="nil"/>
              <w:left w:val="nil"/>
              <w:bottom w:val="single" w:sz="12" w:space="0" w:color="0070C0"/>
              <w:right w:val="single" w:sz="12" w:space="0" w:color="0070C0"/>
            </w:tcBorders>
            <w:shd w:val="clear" w:color="auto" w:fill="auto"/>
            <w:vAlign w:val="center"/>
            <w:hideMark/>
          </w:tcPr>
          <w:p w:rsidR="008F715D" w:rsidRPr="00E12D8F" w:rsidRDefault="008F715D" w:rsidP="002105A0">
            <w:pPr>
              <w:jc w:val="center"/>
              <w:rPr>
                <w:color w:val="000000"/>
                <w:sz w:val="20"/>
                <w:szCs w:val="20"/>
              </w:rPr>
            </w:pPr>
            <w:r w:rsidRPr="00E12D8F">
              <w:rPr>
                <w:color w:val="000000"/>
                <w:sz w:val="20"/>
                <w:szCs w:val="20"/>
              </w:rPr>
              <w:t>44,5</w:t>
            </w:r>
          </w:p>
        </w:tc>
        <w:tc>
          <w:tcPr>
            <w:tcW w:w="1275"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0,0</w:t>
            </w:r>
          </w:p>
        </w:tc>
        <w:tc>
          <w:tcPr>
            <w:tcW w:w="1276"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-100,0</w:t>
            </w:r>
          </w:p>
        </w:tc>
        <w:tc>
          <w:tcPr>
            <w:tcW w:w="1701"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0,0</w:t>
            </w:r>
          </w:p>
        </w:tc>
      </w:tr>
      <w:tr w:rsidR="008F715D" w:rsidRPr="00E12D8F" w:rsidTr="002105A0">
        <w:trPr>
          <w:trHeight w:val="330"/>
        </w:trPr>
        <w:tc>
          <w:tcPr>
            <w:tcW w:w="3191" w:type="dxa"/>
            <w:tcBorders>
              <w:top w:val="nil"/>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rPr>
                <w:color w:val="000000"/>
                <w:sz w:val="20"/>
                <w:szCs w:val="20"/>
              </w:rPr>
            </w:pPr>
            <w:r w:rsidRPr="00E12D8F">
              <w:rPr>
                <w:color w:val="000000"/>
                <w:sz w:val="20"/>
                <w:szCs w:val="20"/>
              </w:rPr>
              <w:t xml:space="preserve">    Moratoires</w:t>
            </w:r>
          </w:p>
        </w:tc>
        <w:tc>
          <w:tcPr>
            <w:tcW w:w="1395" w:type="dxa"/>
            <w:tcBorders>
              <w:top w:val="nil"/>
              <w:left w:val="nil"/>
              <w:bottom w:val="single" w:sz="12" w:space="0" w:color="0070C0"/>
              <w:right w:val="single" w:sz="12" w:space="0" w:color="0070C0"/>
            </w:tcBorders>
            <w:shd w:val="clear" w:color="auto" w:fill="auto"/>
            <w:vAlign w:val="center"/>
            <w:hideMark/>
          </w:tcPr>
          <w:p w:rsidR="008F715D" w:rsidRPr="00E12D8F" w:rsidRDefault="008F715D" w:rsidP="002105A0">
            <w:pPr>
              <w:jc w:val="center"/>
              <w:rPr>
                <w:color w:val="000000"/>
                <w:sz w:val="20"/>
                <w:szCs w:val="20"/>
              </w:rPr>
            </w:pPr>
            <w:r w:rsidRPr="00E12D8F">
              <w:rPr>
                <w:color w:val="000000"/>
                <w:sz w:val="20"/>
                <w:szCs w:val="20"/>
              </w:rPr>
              <w:t>79,9</w:t>
            </w:r>
          </w:p>
        </w:tc>
        <w:tc>
          <w:tcPr>
            <w:tcW w:w="1275"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62,3</w:t>
            </w:r>
          </w:p>
        </w:tc>
        <w:tc>
          <w:tcPr>
            <w:tcW w:w="1276"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-22,0</w:t>
            </w:r>
          </w:p>
        </w:tc>
        <w:tc>
          <w:tcPr>
            <w:tcW w:w="1701"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1,9</w:t>
            </w:r>
          </w:p>
        </w:tc>
      </w:tr>
      <w:tr w:rsidR="008F715D" w:rsidRPr="00E12D8F" w:rsidTr="002105A0">
        <w:trPr>
          <w:trHeight w:val="330"/>
        </w:trPr>
        <w:tc>
          <w:tcPr>
            <w:tcW w:w="3191" w:type="dxa"/>
            <w:tcBorders>
              <w:top w:val="nil"/>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rPr>
                <w:color w:val="000000"/>
                <w:sz w:val="20"/>
                <w:szCs w:val="20"/>
              </w:rPr>
            </w:pPr>
            <w:r w:rsidRPr="00E12D8F">
              <w:rPr>
                <w:color w:val="000000"/>
                <w:sz w:val="20"/>
                <w:szCs w:val="20"/>
              </w:rPr>
              <w:t xml:space="preserve">    Divers</w:t>
            </w:r>
          </w:p>
        </w:tc>
        <w:tc>
          <w:tcPr>
            <w:tcW w:w="1395" w:type="dxa"/>
            <w:tcBorders>
              <w:top w:val="nil"/>
              <w:left w:val="nil"/>
              <w:bottom w:val="single" w:sz="12" w:space="0" w:color="0070C0"/>
              <w:right w:val="single" w:sz="12" w:space="0" w:color="0070C0"/>
            </w:tcBorders>
            <w:shd w:val="clear" w:color="auto" w:fill="auto"/>
            <w:vAlign w:val="center"/>
            <w:hideMark/>
          </w:tcPr>
          <w:p w:rsidR="008F715D" w:rsidRPr="00E12D8F" w:rsidRDefault="008F715D" w:rsidP="002105A0">
            <w:pPr>
              <w:jc w:val="center"/>
              <w:rPr>
                <w:color w:val="000000"/>
                <w:sz w:val="20"/>
                <w:szCs w:val="20"/>
              </w:rPr>
            </w:pPr>
            <w:r w:rsidRPr="00E12D8F">
              <w:rPr>
                <w:color w:val="000000"/>
                <w:sz w:val="20"/>
                <w:szCs w:val="20"/>
              </w:rPr>
              <w:t>12,8</w:t>
            </w:r>
          </w:p>
        </w:tc>
        <w:tc>
          <w:tcPr>
            <w:tcW w:w="1275"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35,7</w:t>
            </w:r>
          </w:p>
        </w:tc>
        <w:tc>
          <w:tcPr>
            <w:tcW w:w="1276"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179,1</w:t>
            </w:r>
          </w:p>
        </w:tc>
        <w:tc>
          <w:tcPr>
            <w:tcW w:w="1701"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1,1</w:t>
            </w:r>
          </w:p>
        </w:tc>
      </w:tr>
      <w:tr w:rsidR="008F715D" w:rsidRPr="00E12D8F" w:rsidTr="002105A0">
        <w:trPr>
          <w:trHeight w:val="330"/>
        </w:trPr>
        <w:tc>
          <w:tcPr>
            <w:tcW w:w="3191" w:type="dxa"/>
            <w:tcBorders>
              <w:top w:val="nil"/>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rPr>
                <w:color w:val="000000"/>
                <w:sz w:val="20"/>
                <w:szCs w:val="20"/>
              </w:rPr>
            </w:pPr>
            <w:r w:rsidRPr="00E12D8F">
              <w:rPr>
                <w:color w:val="000000"/>
                <w:sz w:val="20"/>
                <w:szCs w:val="20"/>
              </w:rPr>
              <w:t xml:space="preserve">    Marché financier Régional</w:t>
            </w:r>
          </w:p>
        </w:tc>
        <w:tc>
          <w:tcPr>
            <w:tcW w:w="1395" w:type="dxa"/>
            <w:tcBorders>
              <w:top w:val="nil"/>
              <w:left w:val="nil"/>
              <w:bottom w:val="single" w:sz="12" w:space="0" w:color="0070C0"/>
              <w:right w:val="single" w:sz="12" w:space="0" w:color="0070C0"/>
            </w:tcBorders>
            <w:shd w:val="clear" w:color="auto" w:fill="auto"/>
            <w:vAlign w:val="center"/>
            <w:hideMark/>
          </w:tcPr>
          <w:p w:rsidR="008F715D" w:rsidRPr="00E12D8F" w:rsidRDefault="008F715D" w:rsidP="002105A0">
            <w:pPr>
              <w:jc w:val="center"/>
              <w:rPr>
                <w:color w:val="000000"/>
                <w:sz w:val="20"/>
                <w:szCs w:val="20"/>
              </w:rPr>
            </w:pPr>
            <w:r w:rsidRPr="00E12D8F">
              <w:rPr>
                <w:color w:val="000000"/>
                <w:sz w:val="20"/>
                <w:szCs w:val="20"/>
              </w:rPr>
              <w:t>75,1</w:t>
            </w:r>
          </w:p>
        </w:tc>
        <w:tc>
          <w:tcPr>
            <w:tcW w:w="1275"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300,9</w:t>
            </w:r>
          </w:p>
        </w:tc>
        <w:tc>
          <w:tcPr>
            <w:tcW w:w="1276"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300,7</w:t>
            </w:r>
          </w:p>
        </w:tc>
        <w:tc>
          <w:tcPr>
            <w:tcW w:w="1701"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color w:val="000000"/>
                <w:sz w:val="20"/>
                <w:szCs w:val="20"/>
              </w:rPr>
            </w:pPr>
            <w:r>
              <w:rPr>
                <w:color w:val="000000"/>
                <w:sz w:val="20"/>
                <w:szCs w:val="20"/>
              </w:rPr>
              <w:t>9,2</w:t>
            </w:r>
          </w:p>
        </w:tc>
      </w:tr>
      <w:tr w:rsidR="008F715D" w:rsidRPr="00E12D8F" w:rsidTr="002105A0">
        <w:trPr>
          <w:trHeight w:val="330"/>
        </w:trPr>
        <w:tc>
          <w:tcPr>
            <w:tcW w:w="3191" w:type="dxa"/>
            <w:tcBorders>
              <w:top w:val="nil"/>
              <w:left w:val="single" w:sz="12" w:space="0" w:color="0070C0"/>
              <w:bottom w:val="single" w:sz="12" w:space="0" w:color="0070C0"/>
              <w:right w:val="single" w:sz="12" w:space="0" w:color="0070C0"/>
            </w:tcBorders>
            <w:shd w:val="clear" w:color="auto" w:fill="auto"/>
            <w:vAlign w:val="center"/>
            <w:hideMark/>
          </w:tcPr>
          <w:p w:rsidR="008F715D" w:rsidRPr="00E12D8F" w:rsidRDefault="008F715D" w:rsidP="002105A0">
            <w:pPr>
              <w:rPr>
                <w:b/>
                <w:bCs/>
                <w:color w:val="000000"/>
                <w:sz w:val="20"/>
                <w:szCs w:val="20"/>
              </w:rPr>
            </w:pPr>
            <w:r w:rsidRPr="00E12D8F">
              <w:rPr>
                <w:b/>
                <w:bCs/>
                <w:color w:val="000000"/>
                <w:sz w:val="20"/>
                <w:szCs w:val="20"/>
              </w:rPr>
              <w:t>Total</w:t>
            </w:r>
          </w:p>
        </w:tc>
        <w:tc>
          <w:tcPr>
            <w:tcW w:w="1395" w:type="dxa"/>
            <w:tcBorders>
              <w:top w:val="nil"/>
              <w:left w:val="nil"/>
              <w:bottom w:val="single" w:sz="12" w:space="0" w:color="0070C0"/>
              <w:right w:val="single" w:sz="12" w:space="0" w:color="0070C0"/>
            </w:tcBorders>
            <w:shd w:val="clear" w:color="auto" w:fill="auto"/>
            <w:vAlign w:val="center"/>
            <w:hideMark/>
          </w:tcPr>
          <w:p w:rsidR="008F715D" w:rsidRPr="00E12D8F" w:rsidRDefault="008F715D" w:rsidP="002105A0">
            <w:pPr>
              <w:jc w:val="center"/>
              <w:rPr>
                <w:b/>
                <w:bCs/>
                <w:color w:val="000000"/>
                <w:sz w:val="20"/>
                <w:szCs w:val="20"/>
              </w:rPr>
            </w:pPr>
            <w:r w:rsidRPr="00E12D8F">
              <w:rPr>
                <w:b/>
                <w:bCs/>
                <w:color w:val="000000"/>
                <w:sz w:val="20"/>
                <w:szCs w:val="20"/>
              </w:rPr>
              <w:t>3089,7</w:t>
            </w:r>
          </w:p>
        </w:tc>
        <w:tc>
          <w:tcPr>
            <w:tcW w:w="1275"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b/>
                <w:bCs/>
                <w:color w:val="000000"/>
                <w:sz w:val="20"/>
                <w:szCs w:val="20"/>
              </w:rPr>
            </w:pPr>
            <w:r>
              <w:rPr>
                <w:b/>
                <w:bCs/>
                <w:color w:val="000000"/>
                <w:sz w:val="20"/>
                <w:szCs w:val="20"/>
              </w:rPr>
              <w:t>3259,4</w:t>
            </w:r>
          </w:p>
        </w:tc>
        <w:tc>
          <w:tcPr>
            <w:tcW w:w="1276" w:type="dxa"/>
            <w:tcBorders>
              <w:top w:val="nil"/>
              <w:left w:val="nil"/>
              <w:bottom w:val="single" w:sz="12" w:space="0" w:color="0070C0"/>
              <w:right w:val="single" w:sz="12" w:space="0" w:color="0070C0"/>
            </w:tcBorders>
            <w:shd w:val="clear" w:color="auto" w:fill="auto"/>
            <w:vAlign w:val="center"/>
            <w:hideMark/>
          </w:tcPr>
          <w:p w:rsidR="008F715D" w:rsidRDefault="008F715D" w:rsidP="002105A0">
            <w:pPr>
              <w:jc w:val="center"/>
              <w:rPr>
                <w:b/>
                <w:bCs/>
                <w:color w:val="000000"/>
                <w:sz w:val="20"/>
                <w:szCs w:val="20"/>
              </w:rPr>
            </w:pPr>
            <w:r>
              <w:rPr>
                <w:b/>
                <w:bCs/>
                <w:color w:val="000000"/>
                <w:sz w:val="20"/>
                <w:szCs w:val="20"/>
              </w:rPr>
              <w:t>5,5</w:t>
            </w:r>
          </w:p>
        </w:tc>
        <w:tc>
          <w:tcPr>
            <w:tcW w:w="1701" w:type="dxa"/>
            <w:tcBorders>
              <w:top w:val="nil"/>
              <w:left w:val="nil"/>
              <w:bottom w:val="single" w:sz="12" w:space="0" w:color="0070C0"/>
              <w:right w:val="single" w:sz="12" w:space="0" w:color="0070C0"/>
            </w:tcBorders>
            <w:shd w:val="clear" w:color="000000" w:fill="FFFFFF"/>
            <w:vAlign w:val="center"/>
            <w:hideMark/>
          </w:tcPr>
          <w:p w:rsidR="008F715D" w:rsidRDefault="008F715D" w:rsidP="002105A0">
            <w:pPr>
              <w:jc w:val="center"/>
              <w:rPr>
                <w:b/>
                <w:bCs/>
                <w:color w:val="000000"/>
                <w:sz w:val="20"/>
                <w:szCs w:val="20"/>
              </w:rPr>
            </w:pPr>
            <w:r>
              <w:rPr>
                <w:b/>
                <w:bCs/>
                <w:color w:val="000000"/>
                <w:sz w:val="20"/>
                <w:szCs w:val="20"/>
              </w:rPr>
              <w:t>100,0%</w:t>
            </w:r>
          </w:p>
        </w:tc>
      </w:tr>
    </w:tbl>
    <w:p w:rsidR="008F715D" w:rsidRPr="00CF1C8D" w:rsidRDefault="008F715D" w:rsidP="008F715D">
      <w:pPr>
        <w:rPr>
          <w:sz w:val="20"/>
          <w:szCs w:val="20"/>
        </w:rPr>
      </w:pPr>
      <w:r w:rsidRPr="00CF1C8D">
        <w:rPr>
          <w:sz w:val="20"/>
          <w:szCs w:val="20"/>
        </w:rPr>
        <w:t>Source : DG</w:t>
      </w:r>
      <w:r>
        <w:rPr>
          <w:sz w:val="20"/>
          <w:szCs w:val="20"/>
        </w:rPr>
        <w:t>D</w:t>
      </w:r>
    </w:p>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Pr="006648E4" w:rsidRDefault="008F715D" w:rsidP="008F715D"/>
    <w:p w:rsidR="008F715D" w:rsidRPr="00393CDB" w:rsidRDefault="008F715D" w:rsidP="008F715D">
      <w:pPr>
        <w:pStyle w:val="Titre2"/>
        <w:rPr>
          <w:b/>
          <w:bCs/>
          <w:i w:val="0"/>
          <w:color w:val="0000FF"/>
          <w:sz w:val="24"/>
        </w:rPr>
      </w:pPr>
      <w:bookmarkStart w:id="295" w:name="_Toc462990875"/>
      <w:r w:rsidRPr="00393CDB">
        <w:rPr>
          <w:b/>
          <w:bCs/>
          <w:i w:val="0"/>
          <w:color w:val="0000FF"/>
          <w:sz w:val="24"/>
        </w:rPr>
        <w:t>I</w:t>
      </w:r>
      <w:r>
        <w:rPr>
          <w:b/>
          <w:bCs/>
          <w:i w:val="0"/>
          <w:color w:val="0000FF"/>
          <w:sz w:val="24"/>
        </w:rPr>
        <w:t>II</w:t>
      </w:r>
      <w:r w:rsidRPr="00393CDB">
        <w:rPr>
          <w:b/>
          <w:bCs/>
          <w:i w:val="0"/>
          <w:color w:val="0000FF"/>
          <w:sz w:val="24"/>
        </w:rPr>
        <w:t>.5 LA SITUATION MONETAIRE</w:t>
      </w:r>
      <w:bookmarkEnd w:id="295"/>
    </w:p>
    <w:p w:rsidR="008F715D" w:rsidRDefault="008F715D" w:rsidP="008F715D"/>
    <w:p w:rsidR="008F715D" w:rsidRPr="00A36E7D" w:rsidRDefault="008F715D" w:rsidP="008F715D">
      <w:pPr>
        <w:spacing w:after="120"/>
        <w:jc w:val="both"/>
        <w:rPr>
          <w:rFonts w:eastAsia="Arial Unicode MS"/>
        </w:rPr>
      </w:pPr>
      <w:r w:rsidRPr="002205E6">
        <w:rPr>
          <w:rFonts w:eastAsia="Arial Unicode MS"/>
        </w:rPr>
        <w:t>A fin juin 2016, la situation monétaire large a été marquée par une hausse de la masse monétaire (+1,5%), du crédit intérieur net (+54,2%) et une contraction des avoirs extérieurs nets  (-34,7%).</w:t>
      </w:r>
      <w:r w:rsidRPr="00A36E7D">
        <w:rPr>
          <w:rFonts w:eastAsia="Arial Unicode MS"/>
        </w:rPr>
        <w:t xml:space="preserve"> </w:t>
      </w:r>
    </w:p>
    <w:p w:rsidR="008F715D" w:rsidRPr="00BA3A5E" w:rsidRDefault="008F715D" w:rsidP="008F715D">
      <w:pPr>
        <w:tabs>
          <w:tab w:val="left" w:pos="1470"/>
        </w:tabs>
        <w:jc w:val="both"/>
        <w:rPr>
          <w:rFonts w:eastAsia="DFKai-SB"/>
          <w:i/>
          <w:sz w:val="2"/>
          <w:szCs w:val="4"/>
        </w:rPr>
      </w:pPr>
    </w:p>
    <w:p w:rsidR="008F715D" w:rsidRPr="00BA3A5E" w:rsidRDefault="008F715D" w:rsidP="008F715D">
      <w:pPr>
        <w:tabs>
          <w:tab w:val="left" w:pos="1470"/>
        </w:tabs>
        <w:jc w:val="both"/>
        <w:rPr>
          <w:rFonts w:eastAsia="DFKai-SB"/>
          <w:i/>
          <w:sz w:val="4"/>
          <w:szCs w:val="4"/>
        </w:rPr>
      </w:pPr>
    </w:p>
    <w:p w:rsidR="008F715D" w:rsidRPr="00BA3A5E" w:rsidRDefault="008F715D" w:rsidP="008F715D">
      <w:pPr>
        <w:tabs>
          <w:tab w:val="left" w:pos="1470"/>
        </w:tabs>
        <w:jc w:val="both"/>
        <w:rPr>
          <w:rFonts w:eastAsia="DFKai-SB"/>
          <w:i/>
          <w:sz w:val="4"/>
          <w:szCs w:val="4"/>
        </w:rPr>
      </w:pPr>
    </w:p>
    <w:p w:rsidR="008F715D" w:rsidRPr="00BA3A5E" w:rsidRDefault="008F715D" w:rsidP="008F715D">
      <w:pPr>
        <w:tabs>
          <w:tab w:val="left" w:pos="1470"/>
        </w:tabs>
        <w:jc w:val="both"/>
        <w:rPr>
          <w:rFonts w:eastAsia="DFKai-SB"/>
          <w:i/>
          <w:sz w:val="2"/>
          <w:szCs w:val="2"/>
        </w:rPr>
      </w:pPr>
    </w:p>
    <w:p w:rsidR="008F715D" w:rsidRPr="00A36E7D" w:rsidRDefault="008F715D" w:rsidP="008F715D">
      <w:pPr>
        <w:jc w:val="center"/>
        <w:rPr>
          <w:b/>
          <w:sz w:val="22"/>
          <w:szCs w:val="22"/>
        </w:rPr>
      </w:pPr>
      <w:r w:rsidRPr="00A36E7D">
        <w:rPr>
          <w:b/>
          <w:sz w:val="22"/>
          <w:szCs w:val="22"/>
        </w:rPr>
        <w:t>Situation monétaire résumée (en milliards de FCFA)</w:t>
      </w:r>
    </w:p>
    <w:p w:rsidR="008F715D" w:rsidRPr="00256854" w:rsidRDefault="008F715D" w:rsidP="008F715D">
      <w:pPr>
        <w:jc w:val="center"/>
        <w:rPr>
          <w:b/>
          <w:sz w:val="8"/>
          <w:szCs w:val="8"/>
          <w:highlight w:val="yellow"/>
        </w:rPr>
      </w:pPr>
    </w:p>
    <w:p w:rsidR="008F715D" w:rsidRPr="00256854" w:rsidRDefault="008F715D" w:rsidP="008F715D">
      <w:pPr>
        <w:jc w:val="center"/>
        <w:rPr>
          <w:b/>
          <w:highlight w:val="yellow"/>
        </w:rPr>
      </w:pPr>
      <w:r>
        <w:rPr>
          <w:b/>
          <w:noProof/>
        </w:rPr>
        <w:drawing>
          <wp:inline distT="0" distB="0" distL="0" distR="0">
            <wp:extent cx="4897755" cy="1562100"/>
            <wp:effectExtent l="0" t="0" r="17145" b="0"/>
            <wp:docPr id="25"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F715D" w:rsidRPr="00A52E27" w:rsidRDefault="008F715D" w:rsidP="008F715D">
      <w:pPr>
        <w:spacing w:after="120"/>
        <w:jc w:val="both"/>
        <w:rPr>
          <w:b/>
          <w:i/>
          <w:color w:val="0000FF"/>
        </w:rPr>
      </w:pPr>
    </w:p>
    <w:p w:rsidR="008F715D" w:rsidRPr="0097597D" w:rsidRDefault="008F715D" w:rsidP="008F715D">
      <w:pPr>
        <w:pStyle w:val="Titre3"/>
        <w:ind w:firstLine="0"/>
        <w:rPr>
          <w:b/>
          <w:bCs/>
          <w:i/>
          <w:iCs/>
          <w:color w:val="0000FF"/>
          <w:sz w:val="24"/>
        </w:rPr>
      </w:pPr>
      <w:bookmarkStart w:id="296" w:name="_Toc462990876"/>
      <w:r w:rsidRPr="0097597D">
        <w:rPr>
          <w:b/>
          <w:bCs/>
          <w:i/>
          <w:iCs/>
          <w:color w:val="0000FF"/>
          <w:sz w:val="24"/>
        </w:rPr>
        <w:t>III.5.1 les principaux agrégats monétaires</w:t>
      </w:r>
      <w:bookmarkEnd w:id="296"/>
    </w:p>
    <w:p w:rsidR="008F715D" w:rsidRPr="00A36E7D" w:rsidRDefault="008F715D" w:rsidP="008F715D"/>
    <w:p w:rsidR="008F715D" w:rsidRPr="0097597D" w:rsidRDefault="008F715D" w:rsidP="008F715D">
      <w:pPr>
        <w:pStyle w:val="Titre3"/>
        <w:ind w:firstLine="0"/>
        <w:rPr>
          <w:b/>
          <w:bCs/>
          <w:i/>
          <w:iCs/>
          <w:color w:val="0000FF"/>
          <w:sz w:val="24"/>
        </w:rPr>
      </w:pPr>
      <w:bookmarkStart w:id="297" w:name="_Toc462990877"/>
      <w:r w:rsidRPr="0097597D">
        <w:rPr>
          <w:b/>
          <w:bCs/>
          <w:i/>
          <w:iCs/>
          <w:color w:val="0000FF"/>
          <w:sz w:val="24"/>
        </w:rPr>
        <w:t>III.5.1.1 La masse monétaire (M2)</w:t>
      </w:r>
      <w:bookmarkEnd w:id="297"/>
    </w:p>
    <w:p w:rsidR="008F715D" w:rsidRDefault="008F715D" w:rsidP="008F715D">
      <w:pPr>
        <w:spacing w:after="120"/>
        <w:jc w:val="both"/>
        <w:rPr>
          <w:rFonts w:eastAsia="Arial Unicode MS"/>
        </w:rPr>
      </w:pPr>
    </w:p>
    <w:p w:rsidR="008F715D" w:rsidRPr="00A36E7D" w:rsidRDefault="008F715D" w:rsidP="008F715D">
      <w:pPr>
        <w:spacing w:after="120"/>
        <w:jc w:val="both"/>
        <w:rPr>
          <w:rFonts w:eastAsia="Arial Unicode MS"/>
        </w:rPr>
      </w:pPr>
      <w:r w:rsidRPr="00B00F93">
        <w:rPr>
          <w:rFonts w:eastAsia="Arial Unicode MS"/>
        </w:rPr>
        <w:t xml:space="preserve">La masse monétaire </w:t>
      </w:r>
      <w:r>
        <w:rPr>
          <w:rFonts w:eastAsia="Arial Unicode MS"/>
        </w:rPr>
        <w:t xml:space="preserve">a </w:t>
      </w:r>
      <w:r w:rsidRPr="00B00F93">
        <w:rPr>
          <w:rFonts w:eastAsia="Arial Unicode MS"/>
        </w:rPr>
        <w:t>augment</w:t>
      </w:r>
      <w:r>
        <w:rPr>
          <w:rFonts w:eastAsia="Arial Unicode MS"/>
        </w:rPr>
        <w:t>é</w:t>
      </w:r>
      <w:r w:rsidRPr="00B00F93">
        <w:rPr>
          <w:rFonts w:eastAsia="Arial Unicode MS"/>
        </w:rPr>
        <w:t xml:space="preserve"> de 1,5% à 2213,4 milliards </w:t>
      </w:r>
      <w:r w:rsidRPr="00A36E7D">
        <w:rPr>
          <w:rFonts w:eastAsia="Arial Unicode MS"/>
        </w:rPr>
        <w:t xml:space="preserve">de FCFA au deuxième trimestre 2016, en relation avec la hausse du crédit intérieur net (+54,2% à 1505,5 milliards de FCFA). </w:t>
      </w:r>
    </w:p>
    <w:p w:rsidR="008F715D" w:rsidRPr="00B00F93" w:rsidRDefault="008F715D" w:rsidP="008F715D">
      <w:pPr>
        <w:spacing w:after="120"/>
        <w:jc w:val="both"/>
        <w:rPr>
          <w:rFonts w:eastAsia="Arial Unicode MS"/>
        </w:rPr>
      </w:pPr>
      <w:r w:rsidRPr="00B00F93">
        <w:rPr>
          <w:rFonts w:eastAsia="Arial Unicode MS"/>
        </w:rPr>
        <w:t xml:space="preserve">L’analyse de ses composantes révèle une hausse </w:t>
      </w:r>
      <w:r>
        <w:rPr>
          <w:rFonts w:eastAsia="Arial Unicode MS"/>
        </w:rPr>
        <w:t xml:space="preserve">concomitante </w:t>
      </w:r>
      <w:r w:rsidRPr="00A36E7D">
        <w:rPr>
          <w:rFonts w:eastAsia="Arial Unicode MS"/>
        </w:rPr>
        <w:t xml:space="preserve">des dépôts collectés (+1,6% à 1857,1 milliards de FCFA) et de </w:t>
      </w:r>
      <w:r w:rsidRPr="00B00F93">
        <w:rPr>
          <w:rFonts w:eastAsia="Arial Unicode MS"/>
        </w:rPr>
        <w:t>l</w:t>
      </w:r>
      <w:r w:rsidRPr="00A36E7D">
        <w:rPr>
          <w:rFonts w:eastAsia="Arial Unicode MS"/>
        </w:rPr>
        <w:t>a circulation fiduciaire (+0,7% à 356,3 milliards de FCFA).</w:t>
      </w:r>
    </w:p>
    <w:p w:rsidR="008F715D" w:rsidRPr="00A36E7D" w:rsidRDefault="008F715D" w:rsidP="008F715D">
      <w:pPr>
        <w:spacing w:after="120"/>
        <w:jc w:val="both"/>
        <w:rPr>
          <w:color w:val="000000"/>
        </w:rPr>
      </w:pPr>
      <w:r w:rsidRPr="00A36E7D">
        <w:rPr>
          <w:rFonts w:eastAsia="Arial Unicode MS"/>
        </w:rPr>
        <w:t>La quasi-monnaie</w:t>
      </w:r>
      <w:r>
        <w:rPr>
          <w:rFonts w:eastAsia="Arial Unicode MS"/>
        </w:rPr>
        <w:t xml:space="preserve"> a </w:t>
      </w:r>
      <w:r w:rsidRPr="00A36E7D">
        <w:rPr>
          <w:rFonts w:eastAsia="Arial Unicode MS"/>
        </w:rPr>
        <w:t>baiss</w:t>
      </w:r>
      <w:r>
        <w:rPr>
          <w:rFonts w:eastAsia="Arial Unicode MS"/>
        </w:rPr>
        <w:t>é</w:t>
      </w:r>
      <w:r w:rsidRPr="00A36E7D">
        <w:rPr>
          <w:rFonts w:eastAsia="Arial Unicode MS"/>
        </w:rPr>
        <w:t xml:space="preserve"> de 1,3% à 742,7 milliards de FCFA à fin juin 2016, suite au repli de l’épargne des</w:t>
      </w:r>
      <w:r>
        <w:rPr>
          <w:rFonts w:eastAsia="Arial Unicode MS"/>
        </w:rPr>
        <w:t xml:space="preserve"> agents économiques, notamment d</w:t>
      </w:r>
      <w:r w:rsidRPr="00A36E7D">
        <w:rPr>
          <w:rFonts w:eastAsia="Arial Unicode MS"/>
        </w:rPr>
        <w:t>es entreprises du secteur privé</w:t>
      </w:r>
      <w:r w:rsidRPr="002105A3">
        <w:rPr>
          <w:color w:val="000000"/>
        </w:rPr>
        <w:t>.</w:t>
      </w:r>
    </w:p>
    <w:p w:rsidR="008F715D" w:rsidRPr="0097597D" w:rsidRDefault="008F715D" w:rsidP="008F715D">
      <w:pPr>
        <w:pStyle w:val="Titre3"/>
        <w:ind w:firstLine="0"/>
        <w:rPr>
          <w:b/>
          <w:bCs/>
          <w:i/>
          <w:iCs/>
          <w:color w:val="0000FF"/>
          <w:sz w:val="24"/>
        </w:rPr>
      </w:pPr>
      <w:bookmarkStart w:id="298" w:name="_Toc462990878"/>
      <w:r w:rsidRPr="0097597D">
        <w:rPr>
          <w:b/>
          <w:bCs/>
          <w:i/>
          <w:iCs/>
          <w:color w:val="0000FF"/>
          <w:sz w:val="24"/>
        </w:rPr>
        <w:t>III.5.1.2 Les ressources extra-monétaires</w:t>
      </w:r>
      <w:bookmarkEnd w:id="298"/>
    </w:p>
    <w:p w:rsidR="008F715D" w:rsidRDefault="008F715D" w:rsidP="008F715D">
      <w:pPr>
        <w:spacing w:after="120"/>
        <w:jc w:val="both"/>
        <w:rPr>
          <w:rFonts w:eastAsia="Arial Unicode MS"/>
        </w:rPr>
      </w:pPr>
    </w:p>
    <w:p w:rsidR="008F715D" w:rsidRPr="00A36E7D" w:rsidRDefault="008F715D" w:rsidP="008F715D">
      <w:pPr>
        <w:spacing w:after="120"/>
        <w:jc w:val="both"/>
        <w:rPr>
          <w:rFonts w:eastAsia="Arial Unicode MS"/>
        </w:rPr>
      </w:pPr>
      <w:r w:rsidRPr="002205E6">
        <w:rPr>
          <w:rFonts w:eastAsia="Arial Unicode MS"/>
        </w:rPr>
        <w:t>Elles ont enregistré une légère progression de 0,6% à 222,3 milliards de FCFA au deuxième trimestre 2016, en raison du renforcement des fonds propres (+14,6% à 395,8 milliards de FCFA).</w:t>
      </w:r>
    </w:p>
    <w:p w:rsidR="008F715D" w:rsidRPr="00A52E27" w:rsidRDefault="008F715D" w:rsidP="008F715D">
      <w:pPr>
        <w:pStyle w:val="Titre3"/>
        <w:ind w:firstLine="0"/>
        <w:rPr>
          <w:b/>
          <w:bCs/>
          <w:i/>
          <w:iCs/>
          <w:color w:val="0000FF"/>
          <w:sz w:val="24"/>
        </w:rPr>
      </w:pPr>
      <w:bookmarkStart w:id="299" w:name="_Toc462990879"/>
      <w:r w:rsidRPr="0097597D">
        <w:rPr>
          <w:b/>
          <w:bCs/>
          <w:i/>
          <w:iCs/>
          <w:color w:val="0000FF"/>
          <w:sz w:val="24"/>
        </w:rPr>
        <w:t>III.5.2 Les contreparties de la masse monétaire</w:t>
      </w:r>
      <w:bookmarkEnd w:id="299"/>
    </w:p>
    <w:p w:rsidR="008F715D" w:rsidRDefault="008F715D" w:rsidP="008F715D">
      <w:pPr>
        <w:spacing w:after="120"/>
        <w:jc w:val="both"/>
        <w:rPr>
          <w:rFonts w:eastAsia="Arial Unicode MS"/>
        </w:rPr>
      </w:pPr>
    </w:p>
    <w:p w:rsidR="008F715D" w:rsidRPr="00A36E7D" w:rsidRDefault="008F715D" w:rsidP="008F715D">
      <w:pPr>
        <w:spacing w:after="120"/>
        <w:jc w:val="both"/>
        <w:rPr>
          <w:rFonts w:eastAsia="Arial Unicode MS"/>
        </w:rPr>
      </w:pPr>
      <w:r w:rsidRPr="00A36E7D">
        <w:rPr>
          <w:rFonts w:eastAsia="Arial Unicode MS"/>
        </w:rPr>
        <w:t>En glissement annuel, les contreparties des ressources monétaires se consolident de 1,4% à 2435,7 milliards de FCFA, sous l’effet de la consolidation du crédit intérieur net (+54,2%).</w:t>
      </w:r>
    </w:p>
    <w:p w:rsidR="008F715D" w:rsidRPr="00A52E27" w:rsidRDefault="008F715D" w:rsidP="008F715D">
      <w:pPr>
        <w:spacing w:after="120"/>
        <w:jc w:val="both"/>
        <w:rPr>
          <w:rFonts w:eastAsia="Arial Unicode MS"/>
        </w:rPr>
      </w:pPr>
    </w:p>
    <w:p w:rsidR="008F715D" w:rsidRPr="0097597D" w:rsidRDefault="008F715D" w:rsidP="008F715D">
      <w:pPr>
        <w:pStyle w:val="Titre3"/>
        <w:ind w:firstLine="0"/>
        <w:rPr>
          <w:b/>
          <w:bCs/>
          <w:i/>
          <w:iCs/>
          <w:color w:val="0000FF"/>
          <w:sz w:val="24"/>
        </w:rPr>
      </w:pPr>
      <w:bookmarkStart w:id="300" w:name="_Toc462990880"/>
      <w:r w:rsidRPr="0097597D">
        <w:rPr>
          <w:b/>
          <w:bCs/>
          <w:i/>
          <w:iCs/>
          <w:color w:val="0000FF"/>
          <w:sz w:val="24"/>
        </w:rPr>
        <w:t>III.5.2.1 Les Avoirs Extérieurs Nets (A.E.N)</w:t>
      </w:r>
      <w:bookmarkEnd w:id="300"/>
    </w:p>
    <w:p w:rsidR="008F715D" w:rsidRDefault="008F715D" w:rsidP="008F715D">
      <w:pPr>
        <w:spacing w:after="120"/>
        <w:jc w:val="both"/>
        <w:rPr>
          <w:rFonts w:eastAsia="Arial Unicode MS"/>
        </w:rPr>
      </w:pPr>
    </w:p>
    <w:p w:rsidR="008F715D" w:rsidRPr="00A36E7D" w:rsidRDefault="008F715D" w:rsidP="008F715D">
      <w:pPr>
        <w:spacing w:after="120"/>
        <w:jc w:val="both"/>
        <w:rPr>
          <w:rFonts w:eastAsia="Arial Unicode MS"/>
        </w:rPr>
      </w:pPr>
      <w:r w:rsidRPr="00A36E7D">
        <w:rPr>
          <w:rFonts w:eastAsia="Arial Unicode MS"/>
        </w:rPr>
        <w:t xml:space="preserve">Les Avoirs Extérieurs Nets se </w:t>
      </w:r>
      <w:r>
        <w:rPr>
          <w:rFonts w:eastAsia="Arial Unicode MS"/>
        </w:rPr>
        <w:t xml:space="preserve">sont </w:t>
      </w:r>
      <w:r w:rsidRPr="00A36E7D">
        <w:rPr>
          <w:rFonts w:eastAsia="Arial Unicode MS"/>
        </w:rPr>
        <w:t>contract</w:t>
      </w:r>
      <w:r>
        <w:rPr>
          <w:rFonts w:eastAsia="Arial Unicode MS"/>
        </w:rPr>
        <w:t>és</w:t>
      </w:r>
      <w:r w:rsidRPr="00A36E7D">
        <w:rPr>
          <w:rFonts w:eastAsia="Arial Unicode MS"/>
        </w:rPr>
        <w:t xml:space="preserve"> de 34,7% à 930,2 milliards de FCFA au deuxième trimestre 2016, corrélativement à la baisse des réserves officielles nettes de 38,3% à 794,4 milliards de FCFA.</w:t>
      </w:r>
    </w:p>
    <w:p w:rsidR="008F715D" w:rsidRPr="00A36E7D" w:rsidRDefault="008F715D" w:rsidP="008F715D">
      <w:pPr>
        <w:spacing w:after="120"/>
        <w:jc w:val="both"/>
        <w:rPr>
          <w:rFonts w:eastAsia="Arial Unicode MS"/>
        </w:rPr>
      </w:pPr>
      <w:r w:rsidRPr="002205E6">
        <w:rPr>
          <w:rFonts w:eastAsia="Arial Unicode MS"/>
        </w:rPr>
        <w:t xml:space="preserve">De même, les avoirs extérieurs nets des banques primaires se sont repliés de 1,5% à 135,8 milliards de FCFA au deuxième trimestre 2016. Dans ce contexte, le taux de couverture des </w:t>
      </w:r>
      <w:r w:rsidRPr="002205E6">
        <w:rPr>
          <w:rFonts w:eastAsia="Arial Unicode MS"/>
        </w:rPr>
        <w:lastRenderedPageBreak/>
        <w:t>engagements à vue par les avoirs extérieurs a perdu 13,2 points pour s’établir à 72,2% en juin 2016.</w:t>
      </w:r>
    </w:p>
    <w:p w:rsidR="008F715D" w:rsidRPr="00256854" w:rsidRDefault="008F715D" w:rsidP="008F715D">
      <w:pPr>
        <w:shd w:val="clear" w:color="auto" w:fill="FFFFFF"/>
        <w:ind w:firstLine="540"/>
        <w:jc w:val="both"/>
        <w:rPr>
          <w:i/>
          <w:sz w:val="4"/>
          <w:szCs w:val="4"/>
          <w:highlight w:val="yellow"/>
        </w:rPr>
      </w:pPr>
    </w:p>
    <w:p w:rsidR="008F715D" w:rsidRPr="00A36E7D" w:rsidRDefault="008F715D" w:rsidP="008F715D">
      <w:pPr>
        <w:rPr>
          <w:b/>
          <w:i/>
          <w:sz w:val="22"/>
          <w:szCs w:val="22"/>
        </w:rPr>
      </w:pPr>
      <w:r w:rsidRPr="00A36E7D">
        <w:rPr>
          <w:b/>
          <w:i/>
          <w:sz w:val="22"/>
          <w:szCs w:val="22"/>
        </w:rPr>
        <w:t>Evolution et répartition des avoirs extérieurs nets</w:t>
      </w:r>
    </w:p>
    <w:tbl>
      <w:tblPr>
        <w:tblW w:w="9141" w:type="dxa"/>
        <w:jc w:val="center"/>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2531"/>
        <w:gridCol w:w="1030"/>
        <w:gridCol w:w="915"/>
        <w:gridCol w:w="969"/>
        <w:gridCol w:w="920"/>
        <w:gridCol w:w="1055"/>
        <w:gridCol w:w="1721"/>
      </w:tblGrid>
      <w:tr w:rsidR="008F715D" w:rsidRPr="00A36E7D" w:rsidTr="002105A0">
        <w:trPr>
          <w:trHeight w:val="528"/>
          <w:jc w:val="center"/>
        </w:trPr>
        <w:tc>
          <w:tcPr>
            <w:tcW w:w="2531" w:type="dxa"/>
            <w:shd w:val="clear" w:color="auto" w:fill="auto"/>
            <w:noWrap/>
            <w:vAlign w:val="center"/>
            <w:hideMark/>
          </w:tcPr>
          <w:p w:rsidR="008F715D" w:rsidRPr="00A36E7D" w:rsidRDefault="008F715D" w:rsidP="002105A0">
            <w:pPr>
              <w:rPr>
                <w:b/>
                <w:bCs/>
                <w:color w:val="000000"/>
                <w:sz w:val="20"/>
                <w:szCs w:val="20"/>
              </w:rPr>
            </w:pPr>
            <w:r w:rsidRPr="00A36E7D">
              <w:rPr>
                <w:b/>
                <w:bCs/>
                <w:color w:val="000000"/>
                <w:sz w:val="20"/>
                <w:szCs w:val="20"/>
              </w:rPr>
              <w:t>Trimestre</w:t>
            </w:r>
          </w:p>
        </w:tc>
        <w:tc>
          <w:tcPr>
            <w:tcW w:w="1030" w:type="dxa"/>
            <w:shd w:val="clear" w:color="auto" w:fill="auto"/>
            <w:vAlign w:val="center"/>
          </w:tcPr>
          <w:p w:rsidR="008F715D" w:rsidRPr="00A36E7D" w:rsidRDefault="008F715D" w:rsidP="002105A0">
            <w:pPr>
              <w:jc w:val="center"/>
              <w:rPr>
                <w:b/>
                <w:bCs/>
                <w:color w:val="000000"/>
                <w:sz w:val="20"/>
                <w:szCs w:val="20"/>
              </w:rPr>
            </w:pPr>
            <w:r w:rsidRPr="00A36E7D">
              <w:rPr>
                <w:b/>
                <w:bCs/>
                <w:color w:val="000000"/>
                <w:sz w:val="20"/>
                <w:szCs w:val="20"/>
              </w:rPr>
              <w:t>juin-15</w:t>
            </w:r>
          </w:p>
        </w:tc>
        <w:tc>
          <w:tcPr>
            <w:tcW w:w="915" w:type="dxa"/>
            <w:shd w:val="clear" w:color="auto" w:fill="auto"/>
            <w:vAlign w:val="center"/>
          </w:tcPr>
          <w:p w:rsidR="008F715D" w:rsidRPr="00A36E7D" w:rsidRDefault="008F715D" w:rsidP="002105A0">
            <w:pPr>
              <w:jc w:val="center"/>
              <w:rPr>
                <w:b/>
                <w:bCs/>
                <w:color w:val="000000"/>
                <w:sz w:val="20"/>
                <w:szCs w:val="20"/>
              </w:rPr>
            </w:pPr>
            <w:r w:rsidRPr="00A36E7D">
              <w:rPr>
                <w:b/>
                <w:bCs/>
                <w:color w:val="000000"/>
                <w:sz w:val="20"/>
                <w:szCs w:val="20"/>
              </w:rPr>
              <w:t>sept-15</w:t>
            </w:r>
          </w:p>
        </w:tc>
        <w:tc>
          <w:tcPr>
            <w:tcW w:w="969" w:type="dxa"/>
            <w:shd w:val="clear" w:color="auto" w:fill="auto"/>
            <w:vAlign w:val="center"/>
          </w:tcPr>
          <w:p w:rsidR="008F715D" w:rsidRPr="00A36E7D" w:rsidRDefault="008F715D" w:rsidP="002105A0">
            <w:pPr>
              <w:jc w:val="center"/>
              <w:rPr>
                <w:b/>
                <w:bCs/>
                <w:color w:val="000000"/>
                <w:sz w:val="20"/>
                <w:szCs w:val="20"/>
              </w:rPr>
            </w:pPr>
            <w:r w:rsidRPr="00A36E7D">
              <w:rPr>
                <w:b/>
                <w:bCs/>
                <w:color w:val="000000"/>
                <w:sz w:val="20"/>
                <w:szCs w:val="20"/>
              </w:rPr>
              <w:t>déc-15</w:t>
            </w:r>
          </w:p>
        </w:tc>
        <w:tc>
          <w:tcPr>
            <w:tcW w:w="920" w:type="dxa"/>
            <w:shd w:val="clear" w:color="auto" w:fill="auto"/>
            <w:noWrap/>
            <w:vAlign w:val="center"/>
            <w:hideMark/>
          </w:tcPr>
          <w:p w:rsidR="008F715D" w:rsidRPr="00A36E7D" w:rsidRDefault="008F715D" w:rsidP="002105A0">
            <w:pPr>
              <w:jc w:val="center"/>
              <w:rPr>
                <w:b/>
                <w:bCs/>
                <w:color w:val="000000"/>
                <w:sz w:val="20"/>
                <w:szCs w:val="20"/>
              </w:rPr>
            </w:pPr>
            <w:r w:rsidRPr="00A36E7D">
              <w:rPr>
                <w:b/>
                <w:bCs/>
                <w:color w:val="000000"/>
                <w:sz w:val="20"/>
                <w:szCs w:val="20"/>
              </w:rPr>
              <w:t>mars-16</w:t>
            </w:r>
          </w:p>
        </w:tc>
        <w:tc>
          <w:tcPr>
            <w:tcW w:w="1055" w:type="dxa"/>
            <w:shd w:val="clear" w:color="auto" w:fill="auto"/>
            <w:noWrap/>
            <w:vAlign w:val="center"/>
            <w:hideMark/>
          </w:tcPr>
          <w:p w:rsidR="008F715D" w:rsidRPr="00A36E7D" w:rsidRDefault="008F715D" w:rsidP="002105A0">
            <w:pPr>
              <w:jc w:val="center"/>
              <w:rPr>
                <w:b/>
                <w:bCs/>
                <w:color w:val="000000"/>
                <w:sz w:val="20"/>
                <w:szCs w:val="20"/>
              </w:rPr>
            </w:pPr>
            <w:r w:rsidRPr="00A36E7D">
              <w:rPr>
                <w:b/>
                <w:bCs/>
                <w:color w:val="000000"/>
                <w:sz w:val="20"/>
                <w:szCs w:val="20"/>
              </w:rPr>
              <w:t>Juin-16</w:t>
            </w:r>
          </w:p>
        </w:tc>
        <w:tc>
          <w:tcPr>
            <w:tcW w:w="1721" w:type="dxa"/>
            <w:shd w:val="clear" w:color="auto" w:fill="auto"/>
            <w:noWrap/>
            <w:vAlign w:val="center"/>
            <w:hideMark/>
          </w:tcPr>
          <w:p w:rsidR="008F715D" w:rsidRPr="00A36E7D" w:rsidRDefault="008F715D" w:rsidP="002105A0">
            <w:pPr>
              <w:jc w:val="center"/>
              <w:rPr>
                <w:b/>
                <w:bCs/>
                <w:color w:val="000000"/>
                <w:sz w:val="20"/>
                <w:szCs w:val="20"/>
              </w:rPr>
            </w:pPr>
            <w:r w:rsidRPr="00A36E7D">
              <w:rPr>
                <w:b/>
                <w:bCs/>
                <w:color w:val="000000"/>
                <w:sz w:val="20"/>
                <w:szCs w:val="20"/>
              </w:rPr>
              <w:t>var 06-16/06-15</w:t>
            </w:r>
          </w:p>
        </w:tc>
      </w:tr>
      <w:tr w:rsidR="008F715D" w:rsidRPr="00A36E7D" w:rsidTr="002105A0">
        <w:trPr>
          <w:trHeight w:val="589"/>
          <w:jc w:val="center"/>
        </w:trPr>
        <w:tc>
          <w:tcPr>
            <w:tcW w:w="2531" w:type="dxa"/>
            <w:shd w:val="clear" w:color="auto" w:fill="auto"/>
            <w:noWrap/>
            <w:vAlign w:val="center"/>
            <w:hideMark/>
          </w:tcPr>
          <w:p w:rsidR="008F715D" w:rsidRPr="00A36E7D" w:rsidRDefault="008F715D" w:rsidP="002105A0">
            <w:pPr>
              <w:rPr>
                <w:b/>
                <w:bCs/>
                <w:sz w:val="20"/>
                <w:szCs w:val="20"/>
              </w:rPr>
            </w:pPr>
            <w:r w:rsidRPr="00A36E7D">
              <w:rPr>
                <w:b/>
                <w:bCs/>
                <w:sz w:val="20"/>
                <w:szCs w:val="20"/>
              </w:rPr>
              <w:t>Avoirs extérieurs nets</w:t>
            </w:r>
          </w:p>
        </w:tc>
        <w:tc>
          <w:tcPr>
            <w:tcW w:w="1030" w:type="dxa"/>
            <w:vAlign w:val="center"/>
          </w:tcPr>
          <w:p w:rsidR="008F715D" w:rsidRPr="00A36E7D" w:rsidRDefault="008F715D" w:rsidP="002105A0">
            <w:pPr>
              <w:jc w:val="center"/>
              <w:rPr>
                <w:b/>
                <w:bCs/>
                <w:color w:val="000000"/>
                <w:sz w:val="20"/>
                <w:szCs w:val="20"/>
              </w:rPr>
            </w:pPr>
            <w:r w:rsidRPr="00A36E7D">
              <w:rPr>
                <w:b/>
                <w:bCs/>
                <w:color w:val="000000"/>
                <w:sz w:val="20"/>
                <w:szCs w:val="20"/>
              </w:rPr>
              <w:t>1425,4</w:t>
            </w:r>
          </w:p>
        </w:tc>
        <w:tc>
          <w:tcPr>
            <w:tcW w:w="915" w:type="dxa"/>
            <w:vAlign w:val="center"/>
          </w:tcPr>
          <w:p w:rsidR="008F715D" w:rsidRPr="00A36E7D" w:rsidRDefault="008F715D" w:rsidP="002105A0">
            <w:pPr>
              <w:jc w:val="center"/>
              <w:rPr>
                <w:b/>
                <w:bCs/>
                <w:sz w:val="20"/>
                <w:szCs w:val="20"/>
              </w:rPr>
            </w:pPr>
            <w:r w:rsidRPr="00A36E7D">
              <w:rPr>
                <w:b/>
                <w:bCs/>
                <w:sz w:val="20"/>
                <w:szCs w:val="20"/>
              </w:rPr>
              <w:t>1246,1</w:t>
            </w:r>
          </w:p>
        </w:tc>
        <w:tc>
          <w:tcPr>
            <w:tcW w:w="969" w:type="dxa"/>
            <w:vAlign w:val="center"/>
          </w:tcPr>
          <w:p w:rsidR="008F715D" w:rsidRPr="00A36E7D" w:rsidRDefault="008F715D" w:rsidP="002105A0">
            <w:pPr>
              <w:jc w:val="center"/>
              <w:rPr>
                <w:b/>
                <w:bCs/>
                <w:color w:val="000000"/>
                <w:sz w:val="20"/>
                <w:szCs w:val="20"/>
              </w:rPr>
            </w:pPr>
            <w:r w:rsidRPr="00A36E7D">
              <w:rPr>
                <w:b/>
                <w:bCs/>
                <w:color w:val="000000"/>
                <w:sz w:val="20"/>
                <w:szCs w:val="20"/>
              </w:rPr>
              <w:t>1119,1</w:t>
            </w:r>
          </w:p>
        </w:tc>
        <w:tc>
          <w:tcPr>
            <w:tcW w:w="920" w:type="dxa"/>
            <w:shd w:val="clear" w:color="auto" w:fill="auto"/>
            <w:noWrap/>
            <w:vAlign w:val="center"/>
            <w:hideMark/>
          </w:tcPr>
          <w:p w:rsidR="008F715D" w:rsidRPr="00A36E7D" w:rsidRDefault="008F715D" w:rsidP="002105A0">
            <w:pPr>
              <w:jc w:val="center"/>
              <w:rPr>
                <w:b/>
                <w:bCs/>
                <w:color w:val="000000"/>
                <w:sz w:val="20"/>
                <w:szCs w:val="20"/>
              </w:rPr>
            </w:pPr>
            <w:r w:rsidRPr="00A36E7D">
              <w:rPr>
                <w:b/>
                <w:bCs/>
                <w:color w:val="000000"/>
                <w:sz w:val="20"/>
                <w:szCs w:val="20"/>
              </w:rPr>
              <w:t>1042,5</w:t>
            </w:r>
          </w:p>
        </w:tc>
        <w:tc>
          <w:tcPr>
            <w:tcW w:w="1055" w:type="dxa"/>
            <w:shd w:val="clear" w:color="auto" w:fill="auto"/>
            <w:noWrap/>
            <w:vAlign w:val="center"/>
            <w:hideMark/>
          </w:tcPr>
          <w:p w:rsidR="008F715D" w:rsidRPr="00A36E7D" w:rsidRDefault="008F715D" w:rsidP="002105A0">
            <w:pPr>
              <w:jc w:val="center"/>
              <w:rPr>
                <w:b/>
                <w:bCs/>
                <w:color w:val="000000"/>
                <w:sz w:val="20"/>
                <w:szCs w:val="20"/>
              </w:rPr>
            </w:pPr>
            <w:r w:rsidRPr="00A36E7D">
              <w:rPr>
                <w:b/>
                <w:bCs/>
                <w:color w:val="000000"/>
                <w:sz w:val="20"/>
                <w:szCs w:val="20"/>
              </w:rPr>
              <w:t>930,2</w:t>
            </w:r>
          </w:p>
        </w:tc>
        <w:tc>
          <w:tcPr>
            <w:tcW w:w="1721" w:type="dxa"/>
            <w:shd w:val="clear" w:color="auto" w:fill="auto"/>
            <w:noWrap/>
            <w:vAlign w:val="center"/>
            <w:hideMark/>
          </w:tcPr>
          <w:p w:rsidR="008F715D" w:rsidRPr="00A36E7D" w:rsidRDefault="008F715D" w:rsidP="002105A0">
            <w:pPr>
              <w:jc w:val="center"/>
              <w:rPr>
                <w:b/>
                <w:bCs/>
                <w:color w:val="FF0000"/>
                <w:sz w:val="20"/>
                <w:szCs w:val="20"/>
              </w:rPr>
            </w:pPr>
            <w:r w:rsidRPr="00A36E7D">
              <w:rPr>
                <w:b/>
                <w:bCs/>
                <w:color w:val="FF0000"/>
                <w:sz w:val="20"/>
                <w:szCs w:val="20"/>
              </w:rPr>
              <w:t>-34,7%</w:t>
            </w:r>
          </w:p>
        </w:tc>
      </w:tr>
      <w:tr w:rsidR="008F715D" w:rsidRPr="00A36E7D" w:rsidTr="002105A0">
        <w:trPr>
          <w:trHeight w:val="339"/>
          <w:jc w:val="center"/>
        </w:trPr>
        <w:tc>
          <w:tcPr>
            <w:tcW w:w="2531" w:type="dxa"/>
            <w:shd w:val="clear" w:color="auto" w:fill="auto"/>
            <w:noWrap/>
            <w:vAlign w:val="center"/>
            <w:hideMark/>
          </w:tcPr>
          <w:p w:rsidR="008F715D" w:rsidRPr="00A36E7D" w:rsidRDefault="008F715D" w:rsidP="002105A0">
            <w:pPr>
              <w:rPr>
                <w:sz w:val="20"/>
                <w:szCs w:val="20"/>
              </w:rPr>
            </w:pPr>
            <w:r w:rsidRPr="00A36E7D">
              <w:rPr>
                <w:sz w:val="20"/>
                <w:szCs w:val="20"/>
              </w:rPr>
              <w:t xml:space="preserve">     Banque centrale</w:t>
            </w:r>
          </w:p>
        </w:tc>
        <w:tc>
          <w:tcPr>
            <w:tcW w:w="1030" w:type="dxa"/>
            <w:vAlign w:val="center"/>
          </w:tcPr>
          <w:p w:rsidR="008F715D" w:rsidRPr="00A36E7D" w:rsidRDefault="008F715D" w:rsidP="002105A0">
            <w:pPr>
              <w:jc w:val="center"/>
              <w:rPr>
                <w:color w:val="000000"/>
                <w:sz w:val="20"/>
                <w:szCs w:val="20"/>
              </w:rPr>
            </w:pPr>
            <w:r w:rsidRPr="00A36E7D">
              <w:rPr>
                <w:color w:val="000000"/>
                <w:sz w:val="20"/>
                <w:szCs w:val="20"/>
              </w:rPr>
              <w:t>1287,5</w:t>
            </w:r>
          </w:p>
        </w:tc>
        <w:tc>
          <w:tcPr>
            <w:tcW w:w="915" w:type="dxa"/>
            <w:vAlign w:val="center"/>
          </w:tcPr>
          <w:p w:rsidR="008F715D" w:rsidRPr="00A36E7D" w:rsidRDefault="008F715D" w:rsidP="002105A0">
            <w:pPr>
              <w:jc w:val="center"/>
              <w:rPr>
                <w:bCs/>
                <w:color w:val="000000"/>
                <w:sz w:val="20"/>
                <w:szCs w:val="20"/>
              </w:rPr>
            </w:pPr>
            <w:r w:rsidRPr="00A36E7D">
              <w:rPr>
                <w:bCs/>
                <w:color w:val="000000"/>
                <w:sz w:val="20"/>
                <w:szCs w:val="20"/>
              </w:rPr>
              <w:t>1209,9</w:t>
            </w:r>
          </w:p>
        </w:tc>
        <w:tc>
          <w:tcPr>
            <w:tcW w:w="969" w:type="dxa"/>
            <w:vAlign w:val="center"/>
          </w:tcPr>
          <w:p w:rsidR="008F715D" w:rsidRPr="00A36E7D" w:rsidRDefault="008F715D" w:rsidP="002105A0">
            <w:pPr>
              <w:jc w:val="center"/>
              <w:rPr>
                <w:color w:val="000000"/>
                <w:sz w:val="20"/>
                <w:szCs w:val="20"/>
              </w:rPr>
            </w:pPr>
            <w:r w:rsidRPr="00A36E7D">
              <w:rPr>
                <w:color w:val="000000"/>
                <w:sz w:val="20"/>
                <w:szCs w:val="20"/>
              </w:rPr>
              <w:t>1001,1</w:t>
            </w:r>
          </w:p>
        </w:tc>
        <w:tc>
          <w:tcPr>
            <w:tcW w:w="920" w:type="dxa"/>
            <w:shd w:val="clear" w:color="auto" w:fill="auto"/>
            <w:noWrap/>
            <w:vAlign w:val="center"/>
            <w:hideMark/>
          </w:tcPr>
          <w:p w:rsidR="008F715D" w:rsidRPr="00A36E7D" w:rsidRDefault="008F715D" w:rsidP="002105A0">
            <w:pPr>
              <w:jc w:val="center"/>
              <w:rPr>
                <w:color w:val="000000"/>
                <w:sz w:val="20"/>
                <w:szCs w:val="20"/>
              </w:rPr>
            </w:pPr>
            <w:r w:rsidRPr="00A36E7D">
              <w:rPr>
                <w:color w:val="000000"/>
                <w:sz w:val="20"/>
                <w:szCs w:val="20"/>
              </w:rPr>
              <w:t>812,4</w:t>
            </w:r>
          </w:p>
        </w:tc>
        <w:tc>
          <w:tcPr>
            <w:tcW w:w="1055" w:type="dxa"/>
            <w:shd w:val="clear" w:color="auto" w:fill="auto"/>
            <w:noWrap/>
            <w:vAlign w:val="center"/>
            <w:hideMark/>
          </w:tcPr>
          <w:p w:rsidR="008F715D" w:rsidRPr="00A36E7D" w:rsidRDefault="008F715D" w:rsidP="002105A0">
            <w:pPr>
              <w:jc w:val="center"/>
              <w:rPr>
                <w:color w:val="000000"/>
                <w:sz w:val="20"/>
                <w:szCs w:val="20"/>
              </w:rPr>
            </w:pPr>
            <w:r w:rsidRPr="00A36E7D">
              <w:rPr>
                <w:color w:val="000000"/>
                <w:sz w:val="20"/>
                <w:szCs w:val="20"/>
              </w:rPr>
              <w:t>794,4</w:t>
            </w:r>
          </w:p>
        </w:tc>
        <w:tc>
          <w:tcPr>
            <w:tcW w:w="1721" w:type="dxa"/>
            <w:shd w:val="clear" w:color="auto" w:fill="auto"/>
            <w:noWrap/>
            <w:vAlign w:val="center"/>
            <w:hideMark/>
          </w:tcPr>
          <w:p w:rsidR="008F715D" w:rsidRPr="00A36E7D" w:rsidRDefault="008F715D" w:rsidP="002105A0">
            <w:pPr>
              <w:jc w:val="center"/>
              <w:rPr>
                <w:bCs/>
                <w:color w:val="FF0000"/>
                <w:sz w:val="20"/>
                <w:szCs w:val="20"/>
              </w:rPr>
            </w:pPr>
            <w:r w:rsidRPr="00A36E7D">
              <w:rPr>
                <w:bCs/>
                <w:color w:val="FF0000"/>
                <w:sz w:val="20"/>
                <w:szCs w:val="20"/>
              </w:rPr>
              <w:t>-38,3%</w:t>
            </w:r>
          </w:p>
        </w:tc>
      </w:tr>
      <w:tr w:rsidR="008F715D" w:rsidRPr="00A36E7D" w:rsidTr="002105A0">
        <w:trPr>
          <w:trHeight w:val="528"/>
          <w:jc w:val="center"/>
        </w:trPr>
        <w:tc>
          <w:tcPr>
            <w:tcW w:w="2531" w:type="dxa"/>
            <w:shd w:val="clear" w:color="auto" w:fill="auto"/>
            <w:noWrap/>
            <w:vAlign w:val="center"/>
            <w:hideMark/>
          </w:tcPr>
          <w:p w:rsidR="008F715D" w:rsidRPr="00A36E7D" w:rsidRDefault="008F715D" w:rsidP="002105A0">
            <w:pPr>
              <w:jc w:val="center"/>
              <w:rPr>
                <w:sz w:val="20"/>
                <w:szCs w:val="20"/>
              </w:rPr>
            </w:pPr>
            <w:r w:rsidRPr="00A36E7D">
              <w:rPr>
                <w:sz w:val="20"/>
                <w:szCs w:val="20"/>
              </w:rPr>
              <w:t xml:space="preserve">     Banques commerciales</w:t>
            </w:r>
          </w:p>
        </w:tc>
        <w:tc>
          <w:tcPr>
            <w:tcW w:w="1030" w:type="dxa"/>
            <w:vAlign w:val="center"/>
          </w:tcPr>
          <w:p w:rsidR="008F715D" w:rsidRPr="00A36E7D" w:rsidRDefault="008F715D" w:rsidP="002105A0">
            <w:pPr>
              <w:jc w:val="center"/>
              <w:rPr>
                <w:color w:val="000000"/>
                <w:sz w:val="20"/>
                <w:szCs w:val="20"/>
              </w:rPr>
            </w:pPr>
            <w:r w:rsidRPr="00A36E7D">
              <w:rPr>
                <w:color w:val="000000"/>
                <w:sz w:val="20"/>
                <w:szCs w:val="20"/>
              </w:rPr>
              <w:t>137,9</w:t>
            </w:r>
          </w:p>
        </w:tc>
        <w:tc>
          <w:tcPr>
            <w:tcW w:w="915" w:type="dxa"/>
            <w:vAlign w:val="center"/>
          </w:tcPr>
          <w:p w:rsidR="008F715D" w:rsidRPr="00A36E7D" w:rsidRDefault="008F715D" w:rsidP="002105A0">
            <w:pPr>
              <w:jc w:val="center"/>
              <w:rPr>
                <w:bCs/>
                <w:sz w:val="20"/>
                <w:szCs w:val="20"/>
              </w:rPr>
            </w:pPr>
            <w:r w:rsidRPr="00A36E7D">
              <w:rPr>
                <w:bCs/>
                <w:sz w:val="20"/>
                <w:szCs w:val="20"/>
              </w:rPr>
              <w:t>36,2</w:t>
            </w:r>
          </w:p>
        </w:tc>
        <w:tc>
          <w:tcPr>
            <w:tcW w:w="969" w:type="dxa"/>
            <w:vAlign w:val="center"/>
          </w:tcPr>
          <w:p w:rsidR="008F715D" w:rsidRPr="00A36E7D" w:rsidRDefault="008F715D" w:rsidP="002105A0">
            <w:pPr>
              <w:jc w:val="center"/>
              <w:rPr>
                <w:color w:val="000000"/>
                <w:sz w:val="20"/>
                <w:szCs w:val="20"/>
              </w:rPr>
            </w:pPr>
            <w:r w:rsidRPr="00A36E7D">
              <w:rPr>
                <w:color w:val="000000"/>
                <w:sz w:val="20"/>
                <w:szCs w:val="20"/>
              </w:rPr>
              <w:t>118,0</w:t>
            </w:r>
          </w:p>
        </w:tc>
        <w:tc>
          <w:tcPr>
            <w:tcW w:w="920" w:type="dxa"/>
            <w:shd w:val="clear" w:color="auto" w:fill="auto"/>
            <w:noWrap/>
            <w:vAlign w:val="center"/>
            <w:hideMark/>
          </w:tcPr>
          <w:p w:rsidR="008F715D" w:rsidRPr="00A36E7D" w:rsidRDefault="008F715D" w:rsidP="002105A0">
            <w:pPr>
              <w:jc w:val="center"/>
              <w:rPr>
                <w:color w:val="000000"/>
                <w:sz w:val="20"/>
                <w:szCs w:val="20"/>
              </w:rPr>
            </w:pPr>
            <w:r w:rsidRPr="00A36E7D">
              <w:rPr>
                <w:color w:val="000000"/>
                <w:sz w:val="20"/>
                <w:szCs w:val="20"/>
              </w:rPr>
              <w:t>230,1</w:t>
            </w:r>
          </w:p>
        </w:tc>
        <w:tc>
          <w:tcPr>
            <w:tcW w:w="1055" w:type="dxa"/>
            <w:shd w:val="clear" w:color="auto" w:fill="auto"/>
            <w:noWrap/>
            <w:vAlign w:val="center"/>
            <w:hideMark/>
          </w:tcPr>
          <w:p w:rsidR="008F715D" w:rsidRPr="00A36E7D" w:rsidRDefault="008F715D" w:rsidP="002105A0">
            <w:pPr>
              <w:jc w:val="center"/>
              <w:rPr>
                <w:color w:val="000000"/>
                <w:sz w:val="20"/>
                <w:szCs w:val="20"/>
              </w:rPr>
            </w:pPr>
            <w:r w:rsidRPr="00A36E7D">
              <w:rPr>
                <w:color w:val="000000"/>
                <w:sz w:val="20"/>
                <w:szCs w:val="20"/>
              </w:rPr>
              <w:t>135,8</w:t>
            </w:r>
          </w:p>
        </w:tc>
        <w:tc>
          <w:tcPr>
            <w:tcW w:w="1721" w:type="dxa"/>
            <w:shd w:val="clear" w:color="auto" w:fill="auto"/>
            <w:noWrap/>
            <w:vAlign w:val="center"/>
            <w:hideMark/>
          </w:tcPr>
          <w:p w:rsidR="008F715D" w:rsidRPr="00A36E7D" w:rsidRDefault="008F715D" w:rsidP="002105A0">
            <w:pPr>
              <w:jc w:val="center"/>
              <w:rPr>
                <w:bCs/>
                <w:color w:val="FF0000"/>
                <w:sz w:val="20"/>
                <w:szCs w:val="20"/>
              </w:rPr>
            </w:pPr>
            <w:r w:rsidRPr="00A36E7D">
              <w:rPr>
                <w:bCs/>
                <w:color w:val="FF0000"/>
                <w:sz w:val="20"/>
                <w:szCs w:val="20"/>
              </w:rPr>
              <w:t>-1,5%</w:t>
            </w:r>
          </w:p>
        </w:tc>
      </w:tr>
    </w:tbl>
    <w:p w:rsidR="008F715D" w:rsidRPr="00CF1C8D" w:rsidRDefault="008F715D" w:rsidP="008F715D">
      <w:pPr>
        <w:spacing w:after="120"/>
        <w:jc w:val="both"/>
        <w:rPr>
          <w:rFonts w:eastAsia="Arial Unicode MS"/>
          <w:sz w:val="20"/>
          <w:szCs w:val="20"/>
        </w:rPr>
      </w:pPr>
      <w:r w:rsidRPr="00CF1C8D">
        <w:rPr>
          <w:rFonts w:eastAsia="Arial Unicode MS"/>
          <w:sz w:val="20"/>
          <w:szCs w:val="20"/>
        </w:rPr>
        <w:t>Source : BEAC</w:t>
      </w:r>
    </w:p>
    <w:p w:rsidR="008F715D" w:rsidRPr="00A52E27" w:rsidRDefault="008F715D" w:rsidP="008F715D">
      <w:pPr>
        <w:ind w:firstLine="540"/>
        <w:jc w:val="both"/>
        <w:rPr>
          <w:sz w:val="2"/>
        </w:rPr>
      </w:pPr>
    </w:p>
    <w:p w:rsidR="008F715D" w:rsidRPr="00A52E27" w:rsidRDefault="008F715D" w:rsidP="008F715D">
      <w:pPr>
        <w:shd w:val="clear" w:color="auto" w:fill="FFFFFF"/>
        <w:jc w:val="both"/>
        <w:rPr>
          <w:b/>
          <w:i/>
          <w:sz w:val="20"/>
          <w:szCs w:val="20"/>
        </w:rPr>
      </w:pPr>
    </w:p>
    <w:p w:rsidR="008F715D" w:rsidRPr="00A52E27" w:rsidRDefault="008F715D" w:rsidP="008F715D">
      <w:pPr>
        <w:shd w:val="clear" w:color="auto" w:fill="FFFFFF"/>
        <w:jc w:val="both"/>
        <w:rPr>
          <w:b/>
          <w:i/>
          <w:sz w:val="2"/>
          <w:szCs w:val="20"/>
        </w:rPr>
      </w:pPr>
    </w:p>
    <w:p w:rsidR="008F715D" w:rsidRPr="0097597D" w:rsidRDefault="008F715D" w:rsidP="008F715D">
      <w:pPr>
        <w:pStyle w:val="Titre3"/>
        <w:ind w:firstLine="0"/>
        <w:rPr>
          <w:b/>
          <w:bCs/>
          <w:i/>
          <w:iCs/>
          <w:color w:val="0000FF"/>
          <w:sz w:val="24"/>
        </w:rPr>
      </w:pPr>
      <w:bookmarkStart w:id="301" w:name="_Toc462990881"/>
      <w:r w:rsidRPr="0097597D">
        <w:rPr>
          <w:b/>
          <w:bCs/>
          <w:i/>
          <w:iCs/>
          <w:color w:val="0000FF"/>
          <w:sz w:val="24"/>
        </w:rPr>
        <w:t>III.5.2.2 Le crédit intérieur</w:t>
      </w:r>
      <w:bookmarkEnd w:id="301"/>
    </w:p>
    <w:p w:rsidR="008F715D" w:rsidRDefault="008F715D" w:rsidP="008F715D">
      <w:pPr>
        <w:spacing w:after="120"/>
        <w:jc w:val="both"/>
        <w:rPr>
          <w:rFonts w:eastAsia="Arial Unicode MS"/>
        </w:rPr>
      </w:pPr>
    </w:p>
    <w:p w:rsidR="008F715D" w:rsidRPr="00A36E7D" w:rsidRDefault="008F715D" w:rsidP="008F715D">
      <w:pPr>
        <w:spacing w:after="120"/>
        <w:jc w:val="both"/>
        <w:rPr>
          <w:rFonts w:eastAsia="Arial Unicode MS"/>
        </w:rPr>
      </w:pPr>
      <w:r w:rsidRPr="002205E6">
        <w:rPr>
          <w:rFonts w:eastAsia="Arial Unicode MS"/>
        </w:rPr>
        <w:t>Le crédit intérieur s’est raffermi de 54,2% à 1505,5 milliards de FCFA au deuxième trimestre 2016, en rapport avec la forte hausse des créances nettes sur l’Etat.</w:t>
      </w:r>
      <w:r w:rsidRPr="00A36E7D">
        <w:rPr>
          <w:rFonts w:eastAsia="Arial Unicode MS"/>
        </w:rPr>
        <w:t xml:space="preserve"> </w:t>
      </w:r>
    </w:p>
    <w:p w:rsidR="008F715D" w:rsidRPr="00256854" w:rsidRDefault="008F715D" w:rsidP="008F715D">
      <w:pPr>
        <w:ind w:firstLine="540"/>
        <w:jc w:val="center"/>
        <w:rPr>
          <w:b/>
          <w:sz w:val="12"/>
          <w:highlight w:val="yellow"/>
        </w:rPr>
      </w:pPr>
    </w:p>
    <w:p w:rsidR="008F715D" w:rsidRPr="00A36E7D" w:rsidRDefault="008F715D" w:rsidP="008F715D">
      <w:pPr>
        <w:ind w:firstLine="540"/>
        <w:rPr>
          <w:b/>
          <w:i/>
          <w:sz w:val="22"/>
          <w:szCs w:val="22"/>
        </w:rPr>
      </w:pPr>
      <w:r w:rsidRPr="00A36E7D">
        <w:rPr>
          <w:b/>
          <w:i/>
          <w:sz w:val="22"/>
          <w:szCs w:val="22"/>
        </w:rPr>
        <w:t>Evolution du crédit intérieur</w:t>
      </w:r>
    </w:p>
    <w:tbl>
      <w:tblPr>
        <w:tblW w:w="9656" w:type="dxa"/>
        <w:jc w:val="center"/>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tblPr>
      <w:tblGrid>
        <w:gridCol w:w="2844"/>
        <w:gridCol w:w="1084"/>
        <w:gridCol w:w="992"/>
        <w:gridCol w:w="993"/>
        <w:gridCol w:w="992"/>
        <w:gridCol w:w="1030"/>
        <w:gridCol w:w="1721"/>
      </w:tblGrid>
      <w:tr w:rsidR="008F715D" w:rsidRPr="00A36E7D" w:rsidTr="002105A0">
        <w:trPr>
          <w:trHeight w:val="234"/>
          <w:jc w:val="center"/>
        </w:trPr>
        <w:tc>
          <w:tcPr>
            <w:tcW w:w="2844" w:type="dxa"/>
            <w:shd w:val="clear" w:color="auto" w:fill="auto"/>
            <w:noWrap/>
            <w:vAlign w:val="center"/>
            <w:hideMark/>
          </w:tcPr>
          <w:p w:rsidR="008F715D" w:rsidRPr="00A36E7D" w:rsidRDefault="008F715D" w:rsidP="002105A0">
            <w:pPr>
              <w:rPr>
                <w:b/>
                <w:bCs/>
                <w:color w:val="000000"/>
                <w:sz w:val="20"/>
                <w:szCs w:val="20"/>
              </w:rPr>
            </w:pPr>
            <w:r w:rsidRPr="00A36E7D">
              <w:rPr>
                <w:b/>
                <w:bCs/>
                <w:color w:val="000000"/>
                <w:sz w:val="20"/>
                <w:szCs w:val="20"/>
              </w:rPr>
              <w:t>Trimestre</w:t>
            </w:r>
          </w:p>
        </w:tc>
        <w:tc>
          <w:tcPr>
            <w:tcW w:w="1084" w:type="dxa"/>
            <w:shd w:val="clear" w:color="auto" w:fill="auto"/>
            <w:noWrap/>
            <w:vAlign w:val="center"/>
            <w:hideMark/>
          </w:tcPr>
          <w:p w:rsidR="008F715D" w:rsidRPr="00A36E7D" w:rsidRDefault="008F715D" w:rsidP="002105A0">
            <w:pPr>
              <w:jc w:val="center"/>
              <w:rPr>
                <w:b/>
                <w:bCs/>
                <w:color w:val="000000"/>
                <w:sz w:val="20"/>
                <w:szCs w:val="20"/>
              </w:rPr>
            </w:pPr>
            <w:r w:rsidRPr="00A36E7D">
              <w:rPr>
                <w:b/>
                <w:bCs/>
                <w:color w:val="000000"/>
                <w:sz w:val="20"/>
                <w:szCs w:val="20"/>
              </w:rPr>
              <w:t>juin-15</w:t>
            </w:r>
          </w:p>
        </w:tc>
        <w:tc>
          <w:tcPr>
            <w:tcW w:w="992" w:type="dxa"/>
            <w:shd w:val="clear" w:color="auto" w:fill="auto"/>
            <w:noWrap/>
            <w:vAlign w:val="center"/>
            <w:hideMark/>
          </w:tcPr>
          <w:p w:rsidR="008F715D" w:rsidRPr="00A36E7D" w:rsidRDefault="008F715D" w:rsidP="002105A0">
            <w:pPr>
              <w:jc w:val="center"/>
              <w:rPr>
                <w:b/>
                <w:bCs/>
                <w:color w:val="000000"/>
                <w:sz w:val="20"/>
                <w:szCs w:val="20"/>
              </w:rPr>
            </w:pPr>
            <w:r w:rsidRPr="00A36E7D">
              <w:rPr>
                <w:b/>
                <w:bCs/>
                <w:color w:val="000000"/>
                <w:sz w:val="20"/>
                <w:szCs w:val="20"/>
              </w:rPr>
              <w:t>sept-15</w:t>
            </w:r>
          </w:p>
        </w:tc>
        <w:tc>
          <w:tcPr>
            <w:tcW w:w="993" w:type="dxa"/>
            <w:shd w:val="clear" w:color="auto" w:fill="auto"/>
            <w:noWrap/>
            <w:vAlign w:val="center"/>
            <w:hideMark/>
          </w:tcPr>
          <w:p w:rsidR="008F715D" w:rsidRPr="00A36E7D" w:rsidRDefault="008F715D" w:rsidP="002105A0">
            <w:pPr>
              <w:jc w:val="center"/>
              <w:rPr>
                <w:b/>
                <w:bCs/>
                <w:color w:val="000000"/>
                <w:sz w:val="20"/>
                <w:szCs w:val="20"/>
              </w:rPr>
            </w:pPr>
            <w:r w:rsidRPr="00A36E7D">
              <w:rPr>
                <w:b/>
                <w:bCs/>
                <w:color w:val="000000"/>
                <w:sz w:val="20"/>
                <w:szCs w:val="20"/>
              </w:rPr>
              <w:t>déc-15</w:t>
            </w:r>
          </w:p>
        </w:tc>
        <w:tc>
          <w:tcPr>
            <w:tcW w:w="992" w:type="dxa"/>
            <w:shd w:val="clear" w:color="auto" w:fill="auto"/>
            <w:noWrap/>
            <w:vAlign w:val="center"/>
            <w:hideMark/>
          </w:tcPr>
          <w:p w:rsidR="008F715D" w:rsidRPr="00A36E7D" w:rsidRDefault="008F715D" w:rsidP="002105A0">
            <w:pPr>
              <w:jc w:val="center"/>
              <w:rPr>
                <w:b/>
                <w:bCs/>
                <w:color w:val="000000"/>
                <w:sz w:val="20"/>
                <w:szCs w:val="20"/>
              </w:rPr>
            </w:pPr>
            <w:r w:rsidRPr="00A36E7D">
              <w:rPr>
                <w:b/>
                <w:bCs/>
                <w:color w:val="000000"/>
                <w:sz w:val="20"/>
                <w:szCs w:val="20"/>
              </w:rPr>
              <w:t>mars-16</w:t>
            </w:r>
          </w:p>
        </w:tc>
        <w:tc>
          <w:tcPr>
            <w:tcW w:w="1030" w:type="dxa"/>
            <w:shd w:val="clear" w:color="auto" w:fill="auto"/>
            <w:noWrap/>
            <w:vAlign w:val="center"/>
            <w:hideMark/>
          </w:tcPr>
          <w:p w:rsidR="008F715D" w:rsidRPr="00A36E7D" w:rsidRDefault="008F715D" w:rsidP="002105A0">
            <w:pPr>
              <w:jc w:val="center"/>
              <w:rPr>
                <w:b/>
                <w:bCs/>
                <w:color w:val="000000"/>
                <w:sz w:val="20"/>
                <w:szCs w:val="20"/>
              </w:rPr>
            </w:pPr>
            <w:r w:rsidRPr="00A36E7D">
              <w:rPr>
                <w:b/>
                <w:bCs/>
                <w:color w:val="000000"/>
                <w:sz w:val="20"/>
                <w:szCs w:val="20"/>
              </w:rPr>
              <w:t>juin-16</w:t>
            </w:r>
          </w:p>
        </w:tc>
        <w:tc>
          <w:tcPr>
            <w:tcW w:w="1721" w:type="dxa"/>
            <w:shd w:val="clear" w:color="auto" w:fill="auto"/>
            <w:noWrap/>
            <w:vAlign w:val="center"/>
            <w:hideMark/>
          </w:tcPr>
          <w:p w:rsidR="008F715D" w:rsidRPr="00A36E7D" w:rsidRDefault="008F715D" w:rsidP="002105A0">
            <w:pPr>
              <w:jc w:val="center"/>
              <w:rPr>
                <w:b/>
                <w:bCs/>
                <w:color w:val="000000"/>
                <w:sz w:val="20"/>
                <w:szCs w:val="20"/>
              </w:rPr>
            </w:pPr>
            <w:r w:rsidRPr="00A36E7D">
              <w:rPr>
                <w:b/>
                <w:bCs/>
                <w:color w:val="000000"/>
                <w:sz w:val="20"/>
                <w:szCs w:val="20"/>
              </w:rPr>
              <w:t>var 06-16/06-15</w:t>
            </w:r>
          </w:p>
        </w:tc>
      </w:tr>
      <w:tr w:rsidR="008F715D" w:rsidRPr="00A36E7D" w:rsidTr="002105A0">
        <w:trPr>
          <w:trHeight w:val="385"/>
          <w:jc w:val="center"/>
        </w:trPr>
        <w:tc>
          <w:tcPr>
            <w:tcW w:w="2844" w:type="dxa"/>
            <w:shd w:val="clear" w:color="auto" w:fill="auto"/>
            <w:noWrap/>
            <w:vAlign w:val="center"/>
            <w:hideMark/>
          </w:tcPr>
          <w:p w:rsidR="008F715D" w:rsidRPr="00A36E7D" w:rsidRDefault="008F715D" w:rsidP="002105A0">
            <w:pPr>
              <w:rPr>
                <w:b/>
                <w:bCs/>
                <w:color w:val="000000"/>
                <w:sz w:val="20"/>
                <w:szCs w:val="20"/>
              </w:rPr>
            </w:pPr>
            <w:r w:rsidRPr="00A36E7D">
              <w:rPr>
                <w:b/>
                <w:bCs/>
                <w:color w:val="000000"/>
                <w:sz w:val="20"/>
                <w:szCs w:val="20"/>
              </w:rPr>
              <w:t> </w:t>
            </w:r>
          </w:p>
        </w:tc>
        <w:tc>
          <w:tcPr>
            <w:tcW w:w="5091" w:type="dxa"/>
            <w:gridSpan w:val="5"/>
            <w:shd w:val="clear" w:color="auto" w:fill="auto"/>
            <w:noWrap/>
            <w:vAlign w:val="center"/>
            <w:hideMark/>
          </w:tcPr>
          <w:p w:rsidR="008F715D" w:rsidRPr="00A36E7D" w:rsidRDefault="008F715D" w:rsidP="002105A0">
            <w:pPr>
              <w:jc w:val="center"/>
              <w:rPr>
                <w:b/>
                <w:bCs/>
                <w:iCs/>
                <w:color w:val="000000"/>
                <w:sz w:val="20"/>
                <w:szCs w:val="20"/>
              </w:rPr>
            </w:pPr>
            <w:r w:rsidRPr="00A36E7D">
              <w:rPr>
                <w:b/>
                <w:bCs/>
                <w:iCs/>
                <w:color w:val="000000"/>
                <w:sz w:val="20"/>
                <w:szCs w:val="20"/>
              </w:rPr>
              <w:t>(en milliards de Fcfa)</w:t>
            </w:r>
          </w:p>
        </w:tc>
        <w:tc>
          <w:tcPr>
            <w:tcW w:w="1721" w:type="dxa"/>
            <w:shd w:val="clear" w:color="auto" w:fill="auto"/>
            <w:noWrap/>
            <w:vAlign w:val="center"/>
            <w:hideMark/>
          </w:tcPr>
          <w:p w:rsidR="008F715D" w:rsidRPr="00A36E7D" w:rsidRDefault="008F715D" w:rsidP="002105A0">
            <w:pPr>
              <w:jc w:val="center"/>
              <w:rPr>
                <w:b/>
                <w:bCs/>
                <w:iCs/>
                <w:color w:val="000000"/>
                <w:sz w:val="20"/>
                <w:szCs w:val="20"/>
              </w:rPr>
            </w:pPr>
          </w:p>
        </w:tc>
      </w:tr>
      <w:tr w:rsidR="008F715D" w:rsidRPr="00A36E7D" w:rsidTr="002105A0">
        <w:trPr>
          <w:trHeight w:val="385"/>
          <w:jc w:val="center"/>
        </w:trPr>
        <w:tc>
          <w:tcPr>
            <w:tcW w:w="2844" w:type="dxa"/>
            <w:shd w:val="clear" w:color="000000" w:fill="FFFFFF"/>
            <w:noWrap/>
            <w:vAlign w:val="center"/>
            <w:hideMark/>
          </w:tcPr>
          <w:p w:rsidR="008F715D" w:rsidRPr="00A36E7D" w:rsidRDefault="008F715D" w:rsidP="002105A0">
            <w:pPr>
              <w:rPr>
                <w:b/>
                <w:bCs/>
                <w:sz w:val="20"/>
                <w:szCs w:val="20"/>
              </w:rPr>
            </w:pPr>
            <w:r w:rsidRPr="00A36E7D">
              <w:rPr>
                <w:b/>
                <w:bCs/>
                <w:sz w:val="20"/>
                <w:szCs w:val="20"/>
              </w:rPr>
              <w:t>Crédits intérieurs nets</w:t>
            </w:r>
          </w:p>
        </w:tc>
        <w:tc>
          <w:tcPr>
            <w:tcW w:w="1084" w:type="dxa"/>
            <w:shd w:val="clear" w:color="auto" w:fill="auto"/>
            <w:noWrap/>
            <w:vAlign w:val="center"/>
            <w:hideMark/>
          </w:tcPr>
          <w:p w:rsidR="008F715D" w:rsidRPr="00A36E7D" w:rsidRDefault="008F715D" w:rsidP="002105A0">
            <w:pPr>
              <w:jc w:val="center"/>
              <w:rPr>
                <w:b/>
                <w:bCs/>
                <w:color w:val="000000"/>
                <w:sz w:val="20"/>
                <w:szCs w:val="20"/>
              </w:rPr>
            </w:pPr>
            <w:r w:rsidRPr="00A36E7D">
              <w:rPr>
                <w:b/>
                <w:bCs/>
                <w:color w:val="000000"/>
                <w:sz w:val="20"/>
                <w:szCs w:val="20"/>
              </w:rPr>
              <w:t>976,4</w:t>
            </w:r>
          </w:p>
        </w:tc>
        <w:tc>
          <w:tcPr>
            <w:tcW w:w="992" w:type="dxa"/>
            <w:shd w:val="clear" w:color="auto" w:fill="auto"/>
            <w:noWrap/>
            <w:vAlign w:val="center"/>
            <w:hideMark/>
          </w:tcPr>
          <w:p w:rsidR="008F715D" w:rsidRPr="00A36E7D" w:rsidRDefault="008F715D" w:rsidP="002105A0">
            <w:pPr>
              <w:jc w:val="center"/>
              <w:rPr>
                <w:b/>
                <w:color w:val="000000"/>
                <w:sz w:val="20"/>
                <w:szCs w:val="20"/>
              </w:rPr>
            </w:pPr>
            <w:r w:rsidRPr="00A36E7D">
              <w:rPr>
                <w:b/>
                <w:color w:val="000000"/>
                <w:sz w:val="20"/>
                <w:szCs w:val="20"/>
              </w:rPr>
              <w:t>1198,4</w:t>
            </w:r>
          </w:p>
        </w:tc>
        <w:tc>
          <w:tcPr>
            <w:tcW w:w="993" w:type="dxa"/>
            <w:shd w:val="clear" w:color="000000" w:fill="FFFFFF"/>
            <w:noWrap/>
            <w:vAlign w:val="center"/>
            <w:hideMark/>
          </w:tcPr>
          <w:p w:rsidR="008F715D" w:rsidRPr="00A36E7D" w:rsidRDefault="008F715D" w:rsidP="002105A0">
            <w:pPr>
              <w:jc w:val="center"/>
              <w:rPr>
                <w:b/>
                <w:color w:val="000000"/>
                <w:sz w:val="20"/>
                <w:szCs w:val="20"/>
              </w:rPr>
            </w:pPr>
            <w:r w:rsidRPr="00A36E7D">
              <w:rPr>
                <w:b/>
                <w:color w:val="000000"/>
                <w:sz w:val="20"/>
                <w:szCs w:val="20"/>
              </w:rPr>
              <w:t>1359,8</w:t>
            </w:r>
          </w:p>
        </w:tc>
        <w:tc>
          <w:tcPr>
            <w:tcW w:w="992" w:type="dxa"/>
            <w:shd w:val="clear" w:color="000000" w:fill="FFFFFF"/>
            <w:noWrap/>
            <w:vAlign w:val="center"/>
            <w:hideMark/>
          </w:tcPr>
          <w:p w:rsidR="008F715D" w:rsidRPr="00A36E7D" w:rsidRDefault="008F715D" w:rsidP="002105A0">
            <w:pPr>
              <w:jc w:val="center"/>
              <w:rPr>
                <w:b/>
                <w:color w:val="000000"/>
                <w:sz w:val="20"/>
                <w:szCs w:val="20"/>
              </w:rPr>
            </w:pPr>
            <w:r w:rsidRPr="00A36E7D">
              <w:rPr>
                <w:b/>
                <w:color w:val="000000"/>
                <w:sz w:val="20"/>
                <w:szCs w:val="20"/>
              </w:rPr>
              <w:t>1407,6</w:t>
            </w:r>
          </w:p>
        </w:tc>
        <w:tc>
          <w:tcPr>
            <w:tcW w:w="1030" w:type="dxa"/>
            <w:shd w:val="clear" w:color="000000" w:fill="FFFFFF"/>
            <w:noWrap/>
            <w:vAlign w:val="center"/>
            <w:hideMark/>
          </w:tcPr>
          <w:p w:rsidR="008F715D" w:rsidRPr="00A36E7D" w:rsidRDefault="008F715D" w:rsidP="002105A0">
            <w:pPr>
              <w:jc w:val="center"/>
              <w:rPr>
                <w:b/>
                <w:color w:val="000000"/>
                <w:sz w:val="20"/>
                <w:szCs w:val="20"/>
              </w:rPr>
            </w:pPr>
            <w:r w:rsidRPr="00A36E7D">
              <w:rPr>
                <w:b/>
                <w:color w:val="000000"/>
                <w:sz w:val="20"/>
                <w:szCs w:val="20"/>
              </w:rPr>
              <w:t>1505,5</w:t>
            </w:r>
          </w:p>
        </w:tc>
        <w:tc>
          <w:tcPr>
            <w:tcW w:w="1721" w:type="dxa"/>
            <w:shd w:val="clear" w:color="auto" w:fill="auto"/>
            <w:noWrap/>
            <w:vAlign w:val="center"/>
            <w:hideMark/>
          </w:tcPr>
          <w:p w:rsidR="008F715D" w:rsidRPr="00A36E7D" w:rsidRDefault="008F715D" w:rsidP="002105A0">
            <w:pPr>
              <w:jc w:val="center"/>
              <w:rPr>
                <w:b/>
                <w:sz w:val="20"/>
                <w:szCs w:val="20"/>
              </w:rPr>
            </w:pPr>
            <w:r w:rsidRPr="00A36E7D">
              <w:rPr>
                <w:b/>
                <w:sz w:val="20"/>
                <w:szCs w:val="20"/>
              </w:rPr>
              <w:t>54,2%</w:t>
            </w:r>
          </w:p>
        </w:tc>
      </w:tr>
      <w:tr w:rsidR="008F715D" w:rsidRPr="00A36E7D" w:rsidTr="002105A0">
        <w:trPr>
          <w:trHeight w:val="385"/>
          <w:jc w:val="center"/>
        </w:trPr>
        <w:tc>
          <w:tcPr>
            <w:tcW w:w="2844" w:type="dxa"/>
            <w:shd w:val="clear" w:color="auto" w:fill="auto"/>
            <w:noWrap/>
            <w:vAlign w:val="center"/>
            <w:hideMark/>
          </w:tcPr>
          <w:p w:rsidR="008F715D" w:rsidRPr="00A36E7D" w:rsidRDefault="008F715D" w:rsidP="002105A0">
            <w:pPr>
              <w:rPr>
                <w:sz w:val="20"/>
                <w:szCs w:val="20"/>
              </w:rPr>
            </w:pPr>
            <w:r w:rsidRPr="00A36E7D">
              <w:rPr>
                <w:sz w:val="20"/>
                <w:szCs w:val="20"/>
              </w:rPr>
              <w:t xml:space="preserve">   Créances nettes sur l'Etat</w:t>
            </w:r>
          </w:p>
        </w:tc>
        <w:tc>
          <w:tcPr>
            <w:tcW w:w="1084" w:type="dxa"/>
            <w:shd w:val="clear" w:color="auto" w:fill="auto"/>
            <w:noWrap/>
            <w:vAlign w:val="center"/>
            <w:hideMark/>
          </w:tcPr>
          <w:p w:rsidR="008F715D" w:rsidRPr="00A36E7D" w:rsidRDefault="008F715D" w:rsidP="002105A0">
            <w:pPr>
              <w:jc w:val="center"/>
              <w:rPr>
                <w:color w:val="FF0000"/>
                <w:sz w:val="20"/>
                <w:szCs w:val="20"/>
              </w:rPr>
            </w:pPr>
            <w:r w:rsidRPr="00A36E7D">
              <w:rPr>
                <w:color w:val="FF0000"/>
                <w:sz w:val="20"/>
                <w:szCs w:val="20"/>
              </w:rPr>
              <w:t>-312,6</w:t>
            </w:r>
          </w:p>
        </w:tc>
        <w:tc>
          <w:tcPr>
            <w:tcW w:w="992" w:type="dxa"/>
            <w:shd w:val="clear" w:color="auto" w:fill="auto"/>
            <w:noWrap/>
            <w:vAlign w:val="center"/>
            <w:hideMark/>
          </w:tcPr>
          <w:p w:rsidR="008F715D" w:rsidRPr="00A36E7D" w:rsidRDefault="008F715D" w:rsidP="002105A0">
            <w:pPr>
              <w:jc w:val="center"/>
              <w:rPr>
                <w:color w:val="FF0000"/>
                <w:sz w:val="20"/>
                <w:szCs w:val="20"/>
              </w:rPr>
            </w:pPr>
            <w:r w:rsidRPr="00A36E7D">
              <w:rPr>
                <w:color w:val="FF0000"/>
                <w:sz w:val="20"/>
                <w:szCs w:val="20"/>
              </w:rPr>
              <w:t>-84,2</w:t>
            </w:r>
          </w:p>
        </w:tc>
        <w:tc>
          <w:tcPr>
            <w:tcW w:w="993" w:type="dxa"/>
            <w:shd w:val="clear" w:color="auto" w:fill="auto"/>
            <w:noWrap/>
            <w:vAlign w:val="center"/>
            <w:hideMark/>
          </w:tcPr>
          <w:p w:rsidR="008F715D" w:rsidRPr="00A36E7D" w:rsidRDefault="008F715D" w:rsidP="002105A0">
            <w:pPr>
              <w:jc w:val="center"/>
              <w:rPr>
                <w:sz w:val="20"/>
                <w:szCs w:val="20"/>
              </w:rPr>
            </w:pPr>
            <w:r w:rsidRPr="00A36E7D">
              <w:rPr>
                <w:sz w:val="20"/>
                <w:szCs w:val="20"/>
              </w:rPr>
              <w:t>55,8</w:t>
            </w:r>
          </w:p>
        </w:tc>
        <w:tc>
          <w:tcPr>
            <w:tcW w:w="992" w:type="dxa"/>
            <w:shd w:val="clear" w:color="auto" w:fill="auto"/>
            <w:noWrap/>
            <w:vAlign w:val="center"/>
            <w:hideMark/>
          </w:tcPr>
          <w:p w:rsidR="008F715D" w:rsidRPr="00A36E7D" w:rsidRDefault="008F715D" w:rsidP="002105A0">
            <w:pPr>
              <w:jc w:val="center"/>
              <w:rPr>
                <w:sz w:val="20"/>
                <w:szCs w:val="20"/>
              </w:rPr>
            </w:pPr>
            <w:r w:rsidRPr="00A36E7D">
              <w:rPr>
                <w:sz w:val="20"/>
                <w:szCs w:val="20"/>
              </w:rPr>
              <w:t>141,3</w:t>
            </w:r>
          </w:p>
        </w:tc>
        <w:tc>
          <w:tcPr>
            <w:tcW w:w="1030" w:type="dxa"/>
            <w:shd w:val="clear" w:color="auto" w:fill="auto"/>
            <w:noWrap/>
            <w:vAlign w:val="center"/>
            <w:hideMark/>
          </w:tcPr>
          <w:p w:rsidR="008F715D" w:rsidRPr="00A36E7D" w:rsidRDefault="008F715D" w:rsidP="002105A0">
            <w:pPr>
              <w:jc w:val="center"/>
              <w:rPr>
                <w:sz w:val="20"/>
                <w:szCs w:val="20"/>
              </w:rPr>
            </w:pPr>
            <w:r w:rsidRPr="00A36E7D">
              <w:rPr>
                <w:sz w:val="20"/>
                <w:szCs w:val="20"/>
              </w:rPr>
              <w:t>269,1</w:t>
            </w:r>
          </w:p>
        </w:tc>
        <w:tc>
          <w:tcPr>
            <w:tcW w:w="1721" w:type="dxa"/>
            <w:shd w:val="clear" w:color="auto" w:fill="auto"/>
            <w:noWrap/>
            <w:vAlign w:val="center"/>
            <w:hideMark/>
          </w:tcPr>
          <w:p w:rsidR="008F715D" w:rsidRPr="00A36E7D" w:rsidRDefault="008F715D" w:rsidP="002105A0">
            <w:pPr>
              <w:jc w:val="center"/>
              <w:rPr>
                <w:color w:val="FF0000"/>
                <w:sz w:val="20"/>
                <w:szCs w:val="20"/>
              </w:rPr>
            </w:pPr>
            <w:r w:rsidRPr="00A36E7D">
              <w:rPr>
                <w:color w:val="FF0000"/>
                <w:sz w:val="20"/>
                <w:szCs w:val="20"/>
              </w:rPr>
              <w:t>-</w:t>
            </w:r>
          </w:p>
        </w:tc>
      </w:tr>
      <w:tr w:rsidR="008F715D" w:rsidRPr="00A36E7D" w:rsidTr="002105A0">
        <w:trPr>
          <w:trHeight w:val="405"/>
          <w:jc w:val="center"/>
        </w:trPr>
        <w:tc>
          <w:tcPr>
            <w:tcW w:w="2844" w:type="dxa"/>
            <w:shd w:val="clear" w:color="auto" w:fill="auto"/>
            <w:noWrap/>
            <w:vAlign w:val="center"/>
            <w:hideMark/>
          </w:tcPr>
          <w:p w:rsidR="008F715D" w:rsidRPr="00A36E7D" w:rsidRDefault="008F715D" w:rsidP="002105A0">
            <w:pPr>
              <w:rPr>
                <w:sz w:val="20"/>
                <w:szCs w:val="20"/>
              </w:rPr>
            </w:pPr>
            <w:r w:rsidRPr="00A36E7D">
              <w:rPr>
                <w:sz w:val="20"/>
                <w:szCs w:val="20"/>
              </w:rPr>
              <w:t xml:space="preserve">   Créances sur le reste de                  l'économie</w:t>
            </w:r>
          </w:p>
        </w:tc>
        <w:tc>
          <w:tcPr>
            <w:tcW w:w="1084" w:type="dxa"/>
            <w:shd w:val="clear" w:color="auto" w:fill="auto"/>
            <w:noWrap/>
            <w:vAlign w:val="center"/>
            <w:hideMark/>
          </w:tcPr>
          <w:p w:rsidR="008F715D" w:rsidRPr="00A36E7D" w:rsidRDefault="008F715D" w:rsidP="002105A0">
            <w:pPr>
              <w:jc w:val="center"/>
              <w:rPr>
                <w:color w:val="000000"/>
                <w:sz w:val="20"/>
                <w:szCs w:val="20"/>
              </w:rPr>
            </w:pPr>
            <w:r w:rsidRPr="00A36E7D">
              <w:rPr>
                <w:color w:val="000000"/>
                <w:sz w:val="20"/>
                <w:szCs w:val="20"/>
              </w:rPr>
              <w:t>1289,0</w:t>
            </w:r>
          </w:p>
        </w:tc>
        <w:tc>
          <w:tcPr>
            <w:tcW w:w="992" w:type="dxa"/>
            <w:shd w:val="clear" w:color="auto" w:fill="auto"/>
            <w:noWrap/>
            <w:vAlign w:val="center"/>
            <w:hideMark/>
          </w:tcPr>
          <w:p w:rsidR="008F715D" w:rsidRPr="00A36E7D" w:rsidRDefault="008F715D" w:rsidP="002105A0">
            <w:pPr>
              <w:jc w:val="center"/>
              <w:rPr>
                <w:color w:val="000000"/>
                <w:sz w:val="20"/>
                <w:szCs w:val="20"/>
              </w:rPr>
            </w:pPr>
            <w:r w:rsidRPr="00A36E7D">
              <w:rPr>
                <w:color w:val="000000"/>
                <w:sz w:val="20"/>
                <w:szCs w:val="20"/>
              </w:rPr>
              <w:t>1282,6</w:t>
            </w:r>
          </w:p>
        </w:tc>
        <w:tc>
          <w:tcPr>
            <w:tcW w:w="993" w:type="dxa"/>
            <w:shd w:val="clear" w:color="auto" w:fill="auto"/>
            <w:noWrap/>
            <w:vAlign w:val="center"/>
            <w:hideMark/>
          </w:tcPr>
          <w:p w:rsidR="008F715D" w:rsidRPr="00A36E7D" w:rsidRDefault="008F715D" w:rsidP="002105A0">
            <w:pPr>
              <w:jc w:val="center"/>
              <w:rPr>
                <w:color w:val="000000"/>
                <w:sz w:val="20"/>
                <w:szCs w:val="20"/>
              </w:rPr>
            </w:pPr>
            <w:r w:rsidRPr="00A36E7D">
              <w:rPr>
                <w:color w:val="000000"/>
                <w:sz w:val="20"/>
                <w:szCs w:val="20"/>
              </w:rPr>
              <w:t>1304,0</w:t>
            </w:r>
          </w:p>
        </w:tc>
        <w:tc>
          <w:tcPr>
            <w:tcW w:w="992" w:type="dxa"/>
            <w:shd w:val="clear" w:color="auto" w:fill="auto"/>
            <w:noWrap/>
            <w:vAlign w:val="center"/>
            <w:hideMark/>
          </w:tcPr>
          <w:p w:rsidR="008F715D" w:rsidRPr="00A36E7D" w:rsidRDefault="008F715D" w:rsidP="002105A0">
            <w:pPr>
              <w:jc w:val="center"/>
              <w:rPr>
                <w:color w:val="000000"/>
                <w:sz w:val="20"/>
                <w:szCs w:val="20"/>
              </w:rPr>
            </w:pPr>
            <w:r w:rsidRPr="00A36E7D">
              <w:rPr>
                <w:color w:val="000000"/>
                <w:sz w:val="20"/>
                <w:szCs w:val="20"/>
              </w:rPr>
              <w:t>1266,3</w:t>
            </w:r>
          </w:p>
        </w:tc>
        <w:tc>
          <w:tcPr>
            <w:tcW w:w="1030" w:type="dxa"/>
            <w:shd w:val="clear" w:color="auto" w:fill="auto"/>
            <w:noWrap/>
            <w:vAlign w:val="center"/>
            <w:hideMark/>
          </w:tcPr>
          <w:p w:rsidR="008F715D" w:rsidRPr="00A36E7D" w:rsidRDefault="008F715D" w:rsidP="002105A0">
            <w:pPr>
              <w:jc w:val="center"/>
              <w:rPr>
                <w:color w:val="000000"/>
                <w:sz w:val="20"/>
                <w:szCs w:val="20"/>
              </w:rPr>
            </w:pPr>
            <w:r w:rsidRPr="00A36E7D">
              <w:rPr>
                <w:color w:val="000000"/>
                <w:sz w:val="20"/>
                <w:szCs w:val="20"/>
              </w:rPr>
              <w:t>1236,4</w:t>
            </w:r>
          </w:p>
        </w:tc>
        <w:tc>
          <w:tcPr>
            <w:tcW w:w="1721" w:type="dxa"/>
            <w:shd w:val="clear" w:color="auto" w:fill="auto"/>
            <w:noWrap/>
            <w:vAlign w:val="center"/>
            <w:hideMark/>
          </w:tcPr>
          <w:p w:rsidR="008F715D" w:rsidRPr="00A36E7D" w:rsidRDefault="008F715D" w:rsidP="002105A0">
            <w:pPr>
              <w:jc w:val="center"/>
              <w:rPr>
                <w:color w:val="FF0000"/>
                <w:sz w:val="20"/>
                <w:szCs w:val="20"/>
              </w:rPr>
            </w:pPr>
            <w:r w:rsidRPr="00A36E7D">
              <w:rPr>
                <w:color w:val="FF0000"/>
                <w:sz w:val="20"/>
                <w:szCs w:val="20"/>
              </w:rPr>
              <w:t>-4,1%</w:t>
            </w:r>
          </w:p>
        </w:tc>
      </w:tr>
    </w:tbl>
    <w:p w:rsidR="008F715D" w:rsidRPr="00CF1C8D" w:rsidRDefault="008F715D" w:rsidP="008F715D">
      <w:pPr>
        <w:spacing w:after="120"/>
        <w:jc w:val="both"/>
        <w:rPr>
          <w:rFonts w:eastAsia="Arial Unicode MS"/>
          <w:sz w:val="20"/>
          <w:szCs w:val="20"/>
        </w:rPr>
      </w:pPr>
      <w:r w:rsidRPr="00CF1C8D">
        <w:rPr>
          <w:rFonts w:eastAsia="Arial Unicode MS"/>
          <w:sz w:val="20"/>
          <w:szCs w:val="20"/>
        </w:rPr>
        <w:t>Source : BEAC</w:t>
      </w:r>
    </w:p>
    <w:p w:rsidR="008F715D" w:rsidRPr="00B02DAA" w:rsidRDefault="008F715D" w:rsidP="008F715D">
      <w:pPr>
        <w:spacing w:after="120"/>
        <w:jc w:val="both"/>
        <w:rPr>
          <w:rFonts w:eastAsia="Arial Unicode MS"/>
        </w:rPr>
      </w:pPr>
    </w:p>
    <w:p w:rsidR="008F715D" w:rsidRPr="00A52E27" w:rsidRDefault="008F715D" w:rsidP="008F715D">
      <w:pPr>
        <w:shd w:val="clear" w:color="auto" w:fill="FFFFFF"/>
        <w:jc w:val="both"/>
        <w:rPr>
          <w:b/>
          <w:i/>
          <w:sz w:val="2"/>
          <w:szCs w:val="10"/>
        </w:rPr>
      </w:pPr>
    </w:p>
    <w:p w:rsidR="008F715D" w:rsidRPr="0097597D" w:rsidRDefault="008F715D" w:rsidP="008F715D">
      <w:pPr>
        <w:pStyle w:val="Titre3"/>
        <w:ind w:firstLine="0"/>
        <w:rPr>
          <w:b/>
          <w:bCs/>
          <w:i/>
          <w:iCs/>
          <w:color w:val="0000FF"/>
          <w:sz w:val="24"/>
        </w:rPr>
      </w:pPr>
      <w:bookmarkStart w:id="302" w:name="_Toc462990882"/>
      <w:r w:rsidRPr="0097597D">
        <w:rPr>
          <w:b/>
          <w:bCs/>
          <w:i/>
          <w:iCs/>
          <w:color w:val="0000FF"/>
          <w:sz w:val="24"/>
        </w:rPr>
        <w:t>III.5.2.2.1 Les créances sur l’économie</w:t>
      </w:r>
      <w:bookmarkEnd w:id="302"/>
    </w:p>
    <w:p w:rsidR="008F715D" w:rsidRDefault="008F715D" w:rsidP="008F715D">
      <w:pPr>
        <w:spacing w:after="120"/>
        <w:jc w:val="both"/>
        <w:rPr>
          <w:rFonts w:eastAsia="Arial Unicode MS"/>
        </w:rPr>
      </w:pPr>
    </w:p>
    <w:p w:rsidR="008F715D" w:rsidRPr="00764E1A" w:rsidRDefault="008F715D" w:rsidP="008F715D">
      <w:pPr>
        <w:spacing w:after="120"/>
        <w:jc w:val="both"/>
        <w:rPr>
          <w:rFonts w:eastAsia="Arial Unicode MS"/>
        </w:rPr>
      </w:pPr>
      <w:r w:rsidRPr="00764E1A">
        <w:rPr>
          <w:rFonts w:eastAsia="Arial Unicode MS"/>
        </w:rPr>
        <w:t>Elles s’amenuisent de 4,1% à 1236,4 milliards de FCFA à fin juin 2016, suite au repli des crédits alloués au secteur privé non financier, représentant 93% de l’encours des crédits. Cette situation demeure liée au contexte économique toujours marqué par un prix du baril de pétrole faible.</w:t>
      </w:r>
    </w:p>
    <w:p w:rsidR="008F715D" w:rsidRPr="00A52E27" w:rsidRDefault="008F715D" w:rsidP="008F715D">
      <w:pPr>
        <w:ind w:firstLine="540"/>
        <w:jc w:val="both"/>
      </w:pPr>
    </w:p>
    <w:p w:rsidR="008F715D" w:rsidRPr="00A52E27" w:rsidRDefault="008F715D" w:rsidP="008F715D">
      <w:pPr>
        <w:ind w:left="1416"/>
        <w:jc w:val="both"/>
        <w:rPr>
          <w:b/>
          <w:color w:val="000000"/>
          <w:sz w:val="4"/>
          <w:szCs w:val="4"/>
        </w:rPr>
      </w:pPr>
    </w:p>
    <w:p w:rsidR="008F715D" w:rsidRPr="0097597D" w:rsidRDefault="008F715D" w:rsidP="008F715D">
      <w:pPr>
        <w:pStyle w:val="Titre3"/>
        <w:ind w:firstLine="0"/>
        <w:rPr>
          <w:b/>
          <w:bCs/>
          <w:i/>
          <w:iCs/>
          <w:color w:val="0000FF"/>
          <w:sz w:val="24"/>
        </w:rPr>
      </w:pPr>
      <w:bookmarkStart w:id="303" w:name="_Toc462990883"/>
      <w:r w:rsidRPr="0097597D">
        <w:rPr>
          <w:b/>
          <w:bCs/>
          <w:i/>
          <w:iCs/>
          <w:color w:val="0000FF"/>
          <w:sz w:val="24"/>
        </w:rPr>
        <w:t>III.5.2.2.2 Les créances nettes sur l’Etat</w:t>
      </w:r>
      <w:bookmarkEnd w:id="303"/>
    </w:p>
    <w:p w:rsidR="008F715D" w:rsidRDefault="008F715D" w:rsidP="008F715D">
      <w:pPr>
        <w:spacing w:after="120"/>
        <w:jc w:val="both"/>
        <w:rPr>
          <w:rFonts w:eastAsia="Arial Unicode MS"/>
        </w:rPr>
      </w:pPr>
    </w:p>
    <w:p w:rsidR="008F715D" w:rsidRPr="002205E6" w:rsidRDefault="008F715D" w:rsidP="008F715D">
      <w:pPr>
        <w:spacing w:after="120"/>
        <w:jc w:val="both"/>
        <w:rPr>
          <w:rFonts w:eastAsia="Arial Unicode MS"/>
        </w:rPr>
      </w:pPr>
      <w:r w:rsidRPr="002205E6">
        <w:rPr>
          <w:rFonts w:eastAsia="Arial Unicode MS"/>
        </w:rPr>
        <w:t xml:space="preserve">Au deuxième trimestre 2016, la situation nette débitrice de l’Etat s’est établie à 269,1 milliards contre -312,7 milliards de FCFA un an plus tôt. Cette évolution traduit une augmentation de la dette de l’Etat envers le système bancaire pour répondre à la baisse des recettes budgétaires fortement impactées par la chute des cours du pétrole. </w:t>
      </w:r>
    </w:p>
    <w:p w:rsidR="008F715D" w:rsidRPr="00764E1A" w:rsidRDefault="008F715D" w:rsidP="008F715D">
      <w:pPr>
        <w:spacing w:after="120"/>
        <w:jc w:val="both"/>
      </w:pPr>
      <w:r w:rsidRPr="002205E6">
        <w:rPr>
          <w:rFonts w:eastAsia="Arial Unicode MS"/>
        </w:rPr>
        <w:t>Par conséquent, la Position Nette du Gouvernement (PNG) s’est dégradée passant de -277,2 milliards en juin 2015 à 361,7 milliards de FCFA en juin 2016.</w:t>
      </w:r>
    </w:p>
    <w:p w:rsidR="008F715D" w:rsidRPr="0097597D" w:rsidRDefault="008F715D" w:rsidP="008F715D">
      <w:pPr>
        <w:pStyle w:val="Titre3"/>
        <w:ind w:firstLine="0"/>
        <w:rPr>
          <w:b/>
          <w:bCs/>
          <w:i/>
          <w:iCs/>
          <w:color w:val="0000FF"/>
          <w:sz w:val="24"/>
        </w:rPr>
      </w:pPr>
      <w:bookmarkStart w:id="304" w:name="_Toc462990884"/>
      <w:r w:rsidRPr="0097597D">
        <w:rPr>
          <w:b/>
          <w:bCs/>
          <w:i/>
          <w:iCs/>
          <w:color w:val="0000FF"/>
          <w:sz w:val="24"/>
        </w:rPr>
        <w:t>III.5.3 La politique monétaire</w:t>
      </w:r>
      <w:bookmarkEnd w:id="304"/>
    </w:p>
    <w:p w:rsidR="008F715D" w:rsidRDefault="008F715D" w:rsidP="008F715D">
      <w:pPr>
        <w:spacing w:after="120"/>
        <w:jc w:val="both"/>
        <w:rPr>
          <w:rFonts w:eastAsia="Arial Unicode MS"/>
        </w:rPr>
      </w:pPr>
      <w:bookmarkStart w:id="305" w:name="_Toc356949437"/>
    </w:p>
    <w:p w:rsidR="008F715D" w:rsidRPr="00A52E27" w:rsidRDefault="008F715D" w:rsidP="008F715D">
      <w:pPr>
        <w:spacing w:after="120"/>
        <w:jc w:val="both"/>
        <w:rPr>
          <w:rFonts w:eastAsia="Arial Unicode MS"/>
        </w:rPr>
      </w:pPr>
      <w:r>
        <w:rPr>
          <w:rFonts w:eastAsia="Arial Unicode MS"/>
        </w:rPr>
        <w:lastRenderedPageBreak/>
        <w:t>L</w:t>
      </w:r>
      <w:r w:rsidRPr="00764E1A">
        <w:rPr>
          <w:rFonts w:eastAsia="Arial Unicode MS"/>
        </w:rPr>
        <w:t>a politique monétaire de la Beac a reposé sur le maintien du TIAO (Taux d’Intérêt des Appels d’Offres), de l’objectif de refinancement, des  autres taux directeurs et de la politique des réserves obligatoires.</w:t>
      </w:r>
    </w:p>
    <w:p w:rsidR="008F715D" w:rsidRPr="0097597D" w:rsidRDefault="008F715D" w:rsidP="008F715D">
      <w:pPr>
        <w:pStyle w:val="Titre3"/>
        <w:ind w:firstLine="0"/>
        <w:rPr>
          <w:b/>
          <w:bCs/>
          <w:i/>
          <w:iCs/>
          <w:color w:val="0000FF"/>
          <w:sz w:val="24"/>
        </w:rPr>
      </w:pPr>
      <w:bookmarkStart w:id="306" w:name="_Toc462990885"/>
      <w:r w:rsidRPr="0097597D">
        <w:rPr>
          <w:b/>
          <w:bCs/>
          <w:i/>
          <w:iCs/>
          <w:color w:val="0000FF"/>
          <w:sz w:val="24"/>
        </w:rPr>
        <w:t>III.5.3.1 L’action sur la liquidité bancaire</w:t>
      </w:r>
      <w:bookmarkEnd w:id="305"/>
      <w:bookmarkEnd w:id="306"/>
    </w:p>
    <w:p w:rsidR="008F715D" w:rsidRDefault="008F715D" w:rsidP="008F715D">
      <w:pPr>
        <w:spacing w:after="120"/>
        <w:jc w:val="both"/>
        <w:rPr>
          <w:rFonts w:eastAsia="Arial Unicode MS"/>
        </w:rPr>
      </w:pPr>
    </w:p>
    <w:p w:rsidR="008F715D" w:rsidRPr="00764E1A" w:rsidRDefault="008F715D" w:rsidP="008F715D">
      <w:pPr>
        <w:spacing w:after="120"/>
        <w:jc w:val="both"/>
        <w:rPr>
          <w:rFonts w:eastAsia="Arial Unicode MS"/>
        </w:rPr>
      </w:pPr>
      <w:r w:rsidRPr="00764E1A">
        <w:rPr>
          <w:rFonts w:eastAsia="Arial Unicode MS"/>
        </w:rPr>
        <w:t xml:space="preserve">Le marché interbancaire </w:t>
      </w:r>
      <w:r>
        <w:rPr>
          <w:rFonts w:eastAsia="Arial Unicode MS"/>
        </w:rPr>
        <w:t>a été</w:t>
      </w:r>
      <w:r w:rsidRPr="00764E1A">
        <w:rPr>
          <w:rFonts w:eastAsia="Arial Unicode MS"/>
        </w:rPr>
        <w:t xml:space="preserve"> caractérisé par un niveau de liquidité acceptable. Aussi, l’Institut d’Emission a –t-il maintenu son objectif de refinancement à 80 milliards de FCFA. </w:t>
      </w:r>
    </w:p>
    <w:p w:rsidR="008F715D" w:rsidRPr="0097597D" w:rsidRDefault="008F715D" w:rsidP="008F715D">
      <w:pPr>
        <w:pStyle w:val="Titre3"/>
        <w:ind w:firstLine="0"/>
        <w:rPr>
          <w:b/>
          <w:bCs/>
          <w:i/>
          <w:iCs/>
          <w:color w:val="0000FF"/>
          <w:sz w:val="24"/>
        </w:rPr>
      </w:pPr>
      <w:bookmarkStart w:id="307" w:name="_Toc356949438"/>
      <w:bookmarkStart w:id="308" w:name="_Toc462990886"/>
      <w:r w:rsidRPr="0097597D">
        <w:rPr>
          <w:b/>
          <w:bCs/>
          <w:i/>
          <w:iCs/>
          <w:color w:val="0000FF"/>
          <w:sz w:val="24"/>
        </w:rPr>
        <w:t>III.5.3.2 La politique des taux d’</w:t>
      </w:r>
      <w:bookmarkEnd w:id="307"/>
      <w:r w:rsidRPr="0097597D">
        <w:rPr>
          <w:b/>
          <w:bCs/>
          <w:i/>
          <w:iCs/>
          <w:color w:val="0000FF"/>
          <w:sz w:val="24"/>
        </w:rPr>
        <w:t>intérêt</w:t>
      </w:r>
      <w:bookmarkEnd w:id="308"/>
    </w:p>
    <w:p w:rsidR="008F715D" w:rsidRDefault="008F715D" w:rsidP="008F715D">
      <w:pPr>
        <w:spacing w:after="120"/>
        <w:jc w:val="both"/>
        <w:rPr>
          <w:rFonts w:eastAsia="Arial Unicode MS"/>
        </w:rPr>
      </w:pPr>
    </w:p>
    <w:p w:rsidR="008F715D" w:rsidRDefault="008F715D" w:rsidP="008F715D">
      <w:pPr>
        <w:spacing w:after="120"/>
        <w:jc w:val="both"/>
        <w:rPr>
          <w:rFonts w:eastAsia="Arial Unicode MS"/>
        </w:rPr>
      </w:pPr>
      <w:r w:rsidRPr="00764E1A">
        <w:rPr>
          <w:rFonts w:eastAsia="Arial Unicode MS"/>
        </w:rPr>
        <w:t xml:space="preserve">Le Comité de Politique Monétaire qui s’est tenu le 12 juillet 2016 a décidé de laisser inchangés les principaux taux d’intervention ainsi qu’il suit : </w:t>
      </w:r>
    </w:p>
    <w:tbl>
      <w:tblPr>
        <w:tblW w:w="928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FFFFFF"/>
        <w:tblLook w:val="04A0"/>
      </w:tblPr>
      <w:tblGrid>
        <w:gridCol w:w="5367"/>
        <w:gridCol w:w="3919"/>
      </w:tblGrid>
      <w:tr w:rsidR="008F715D" w:rsidRPr="00764E1A" w:rsidTr="002105A0">
        <w:trPr>
          <w:trHeight w:val="252"/>
        </w:trPr>
        <w:tc>
          <w:tcPr>
            <w:tcW w:w="5367" w:type="dxa"/>
            <w:shd w:val="clear" w:color="auto" w:fill="FFFFFF"/>
            <w:vAlign w:val="center"/>
            <w:hideMark/>
          </w:tcPr>
          <w:p w:rsidR="008F715D" w:rsidRPr="00764E1A" w:rsidRDefault="008F715D" w:rsidP="002105A0">
            <w:pPr>
              <w:pStyle w:val="Retraitcorpsdetexte2"/>
              <w:ind w:firstLine="0"/>
              <w:jc w:val="left"/>
              <w:rPr>
                <w:iCs/>
                <w:sz w:val="20"/>
                <w:szCs w:val="20"/>
                <w:lang w:eastAsia="en-US"/>
              </w:rPr>
            </w:pPr>
            <w:r w:rsidRPr="00764E1A">
              <w:rPr>
                <w:sz w:val="20"/>
                <w:szCs w:val="20"/>
                <w:lang w:eastAsia="en-US"/>
              </w:rPr>
              <w:t>Taux d’Intérêt des Appels d’Offres (TIAO) </w:t>
            </w:r>
          </w:p>
        </w:tc>
        <w:tc>
          <w:tcPr>
            <w:tcW w:w="3919" w:type="dxa"/>
            <w:shd w:val="clear" w:color="auto" w:fill="FFFFFF"/>
            <w:vAlign w:val="center"/>
            <w:hideMark/>
          </w:tcPr>
          <w:p w:rsidR="008F715D" w:rsidRPr="00764E1A" w:rsidRDefault="008F715D" w:rsidP="002105A0">
            <w:pPr>
              <w:pStyle w:val="Retraitcorpsdetexte2"/>
              <w:ind w:firstLine="0"/>
              <w:jc w:val="center"/>
              <w:rPr>
                <w:iCs/>
                <w:sz w:val="20"/>
                <w:szCs w:val="20"/>
                <w:lang w:eastAsia="en-US"/>
              </w:rPr>
            </w:pPr>
            <w:r w:rsidRPr="00764E1A">
              <w:rPr>
                <w:sz w:val="20"/>
                <w:szCs w:val="20"/>
                <w:lang w:eastAsia="en-US"/>
              </w:rPr>
              <w:t>2,45%</w:t>
            </w:r>
          </w:p>
        </w:tc>
      </w:tr>
      <w:tr w:rsidR="008F715D" w:rsidRPr="00764E1A" w:rsidTr="002105A0">
        <w:trPr>
          <w:trHeight w:val="301"/>
        </w:trPr>
        <w:tc>
          <w:tcPr>
            <w:tcW w:w="5367" w:type="dxa"/>
            <w:shd w:val="clear" w:color="auto" w:fill="FFFFFF"/>
            <w:vAlign w:val="center"/>
            <w:hideMark/>
          </w:tcPr>
          <w:p w:rsidR="008F715D" w:rsidRPr="00764E1A" w:rsidRDefault="008F715D" w:rsidP="002105A0">
            <w:pPr>
              <w:pStyle w:val="Retraitcorpsdetexte2"/>
              <w:ind w:firstLine="0"/>
              <w:jc w:val="left"/>
              <w:rPr>
                <w:iCs/>
                <w:sz w:val="20"/>
                <w:szCs w:val="20"/>
                <w:lang w:eastAsia="en-US"/>
              </w:rPr>
            </w:pPr>
            <w:r w:rsidRPr="00764E1A">
              <w:rPr>
                <w:sz w:val="20"/>
                <w:szCs w:val="20"/>
                <w:lang w:eastAsia="en-US"/>
              </w:rPr>
              <w:t>Taux des Prises en Pension (TPP)</w:t>
            </w:r>
          </w:p>
        </w:tc>
        <w:tc>
          <w:tcPr>
            <w:tcW w:w="3919" w:type="dxa"/>
            <w:shd w:val="clear" w:color="auto" w:fill="FFFFFF"/>
            <w:vAlign w:val="center"/>
            <w:hideMark/>
          </w:tcPr>
          <w:p w:rsidR="008F715D" w:rsidRPr="00764E1A" w:rsidRDefault="008F715D" w:rsidP="002105A0">
            <w:pPr>
              <w:pStyle w:val="Retraitcorpsdetexte2"/>
              <w:ind w:firstLine="0"/>
              <w:jc w:val="center"/>
              <w:rPr>
                <w:iCs/>
                <w:sz w:val="20"/>
                <w:szCs w:val="20"/>
                <w:lang w:eastAsia="en-US"/>
              </w:rPr>
            </w:pPr>
            <w:r w:rsidRPr="00764E1A">
              <w:rPr>
                <w:sz w:val="20"/>
                <w:szCs w:val="20"/>
                <w:lang w:eastAsia="en-US"/>
              </w:rPr>
              <w:t>4,20%</w:t>
            </w:r>
          </w:p>
        </w:tc>
      </w:tr>
      <w:tr w:rsidR="008F715D" w:rsidRPr="00764E1A" w:rsidTr="002105A0">
        <w:trPr>
          <w:trHeight w:val="284"/>
        </w:trPr>
        <w:tc>
          <w:tcPr>
            <w:tcW w:w="5367" w:type="dxa"/>
            <w:shd w:val="clear" w:color="auto" w:fill="FFFFFF"/>
            <w:vAlign w:val="center"/>
            <w:hideMark/>
          </w:tcPr>
          <w:p w:rsidR="008F715D" w:rsidRPr="00764E1A" w:rsidRDefault="008F715D" w:rsidP="002105A0">
            <w:pPr>
              <w:pStyle w:val="Retraitcorpsdetexte2"/>
              <w:ind w:firstLine="0"/>
              <w:jc w:val="left"/>
              <w:rPr>
                <w:iCs/>
                <w:sz w:val="20"/>
                <w:szCs w:val="20"/>
                <w:lang w:eastAsia="en-US"/>
              </w:rPr>
            </w:pPr>
            <w:r w:rsidRPr="00764E1A">
              <w:rPr>
                <w:sz w:val="20"/>
                <w:szCs w:val="20"/>
                <w:lang w:eastAsia="en-US"/>
              </w:rPr>
              <w:t>Taux Créditeur Minimum (TCM)</w:t>
            </w:r>
          </w:p>
        </w:tc>
        <w:tc>
          <w:tcPr>
            <w:tcW w:w="3919" w:type="dxa"/>
            <w:shd w:val="clear" w:color="auto" w:fill="FFFFFF"/>
            <w:vAlign w:val="center"/>
            <w:hideMark/>
          </w:tcPr>
          <w:p w:rsidR="008F715D" w:rsidRPr="00764E1A" w:rsidRDefault="008F715D" w:rsidP="002105A0">
            <w:pPr>
              <w:pStyle w:val="Retraitcorpsdetexte2"/>
              <w:ind w:firstLine="0"/>
              <w:jc w:val="center"/>
              <w:rPr>
                <w:iCs/>
                <w:sz w:val="20"/>
                <w:szCs w:val="20"/>
                <w:lang w:eastAsia="en-US"/>
              </w:rPr>
            </w:pPr>
            <w:r w:rsidRPr="00764E1A">
              <w:rPr>
                <w:sz w:val="20"/>
                <w:szCs w:val="20"/>
                <w:lang w:eastAsia="en-US"/>
              </w:rPr>
              <w:t>2,45%</w:t>
            </w:r>
          </w:p>
        </w:tc>
      </w:tr>
    </w:tbl>
    <w:p w:rsidR="008F715D" w:rsidRPr="00CF1C8D" w:rsidRDefault="008F715D" w:rsidP="008F715D">
      <w:pPr>
        <w:spacing w:after="120"/>
        <w:jc w:val="both"/>
        <w:rPr>
          <w:rFonts w:eastAsia="Arial Unicode MS"/>
          <w:sz w:val="20"/>
          <w:szCs w:val="20"/>
        </w:rPr>
      </w:pPr>
      <w:r w:rsidRPr="00CF1C8D">
        <w:rPr>
          <w:rFonts w:eastAsia="Arial Unicode MS"/>
          <w:sz w:val="20"/>
          <w:szCs w:val="20"/>
        </w:rPr>
        <w:t>Source : BEAC</w:t>
      </w:r>
    </w:p>
    <w:p w:rsidR="008F715D" w:rsidRDefault="008F715D" w:rsidP="008F715D">
      <w:pPr>
        <w:spacing w:after="120"/>
        <w:jc w:val="both"/>
      </w:pPr>
      <w:r w:rsidRPr="00764E1A">
        <w:rPr>
          <w:rFonts w:eastAsia="Arial Unicode MS"/>
        </w:rPr>
        <w:t>De même, les taux d’intérêt sur les placements ont été maintenus et fixés comme suit</w:t>
      </w:r>
      <w:r w:rsidRPr="00FE55A5">
        <w:t> :</w:t>
      </w:r>
    </w:p>
    <w:tbl>
      <w:tblPr>
        <w:tblW w:w="9138" w:type="dxa"/>
        <w:tblInd w:w="-34"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FFFFFF"/>
        <w:tblLook w:val="04A0"/>
      </w:tblPr>
      <w:tblGrid>
        <w:gridCol w:w="5223"/>
        <w:gridCol w:w="3915"/>
      </w:tblGrid>
      <w:tr w:rsidR="008F715D" w:rsidRPr="00764E1A" w:rsidTr="002105A0">
        <w:trPr>
          <w:trHeight w:val="257"/>
        </w:trPr>
        <w:tc>
          <w:tcPr>
            <w:tcW w:w="5223" w:type="dxa"/>
            <w:shd w:val="clear" w:color="auto" w:fill="FFFFFF"/>
            <w:hideMark/>
          </w:tcPr>
          <w:p w:rsidR="008F715D" w:rsidRPr="00764E1A" w:rsidRDefault="008F715D" w:rsidP="002105A0">
            <w:pPr>
              <w:pStyle w:val="Retraitcorpsdetexte2"/>
              <w:ind w:firstLine="0"/>
              <w:rPr>
                <w:iCs/>
                <w:sz w:val="20"/>
                <w:szCs w:val="20"/>
                <w:lang w:eastAsia="en-US"/>
              </w:rPr>
            </w:pPr>
            <w:r w:rsidRPr="00764E1A">
              <w:rPr>
                <w:sz w:val="20"/>
                <w:szCs w:val="20"/>
                <w:lang w:eastAsia="en-US"/>
              </w:rPr>
              <w:t>Placements à 7 jours </w:t>
            </w:r>
          </w:p>
        </w:tc>
        <w:tc>
          <w:tcPr>
            <w:tcW w:w="3915" w:type="dxa"/>
            <w:shd w:val="clear" w:color="auto" w:fill="FFFFFF"/>
            <w:hideMark/>
          </w:tcPr>
          <w:p w:rsidR="008F715D" w:rsidRPr="00764E1A" w:rsidRDefault="008F715D" w:rsidP="002105A0">
            <w:pPr>
              <w:pStyle w:val="Retraitcorpsdetexte2"/>
              <w:ind w:firstLine="0"/>
              <w:jc w:val="center"/>
              <w:rPr>
                <w:iCs/>
                <w:sz w:val="20"/>
                <w:szCs w:val="20"/>
                <w:lang w:eastAsia="en-US"/>
              </w:rPr>
            </w:pPr>
            <w:r w:rsidRPr="00764E1A">
              <w:rPr>
                <w:sz w:val="20"/>
                <w:szCs w:val="20"/>
                <w:lang w:eastAsia="en-US"/>
              </w:rPr>
              <w:t>0%</w:t>
            </w:r>
          </w:p>
        </w:tc>
      </w:tr>
      <w:tr w:rsidR="008F715D" w:rsidRPr="00764E1A" w:rsidTr="002105A0">
        <w:trPr>
          <w:trHeight w:val="246"/>
        </w:trPr>
        <w:tc>
          <w:tcPr>
            <w:tcW w:w="5223" w:type="dxa"/>
            <w:shd w:val="clear" w:color="auto" w:fill="FFFFFF"/>
            <w:hideMark/>
          </w:tcPr>
          <w:p w:rsidR="008F715D" w:rsidRPr="00764E1A" w:rsidRDefault="008F715D" w:rsidP="002105A0">
            <w:pPr>
              <w:pStyle w:val="Retraitcorpsdetexte2"/>
              <w:ind w:firstLine="0"/>
              <w:rPr>
                <w:iCs/>
                <w:sz w:val="20"/>
                <w:szCs w:val="20"/>
                <w:lang w:eastAsia="en-US"/>
              </w:rPr>
            </w:pPr>
            <w:r w:rsidRPr="00764E1A">
              <w:rPr>
                <w:sz w:val="20"/>
                <w:szCs w:val="20"/>
                <w:lang w:eastAsia="en-US"/>
              </w:rPr>
              <w:t>Placements à 28 jours </w:t>
            </w:r>
          </w:p>
        </w:tc>
        <w:tc>
          <w:tcPr>
            <w:tcW w:w="3915" w:type="dxa"/>
            <w:shd w:val="clear" w:color="auto" w:fill="FFFFFF"/>
            <w:hideMark/>
          </w:tcPr>
          <w:p w:rsidR="008F715D" w:rsidRPr="00764E1A" w:rsidRDefault="008F715D" w:rsidP="002105A0">
            <w:pPr>
              <w:pStyle w:val="Retraitcorpsdetexte2"/>
              <w:ind w:firstLine="0"/>
              <w:jc w:val="center"/>
              <w:rPr>
                <w:iCs/>
                <w:sz w:val="20"/>
                <w:szCs w:val="20"/>
                <w:lang w:eastAsia="en-US"/>
              </w:rPr>
            </w:pPr>
            <w:r w:rsidRPr="00764E1A">
              <w:rPr>
                <w:sz w:val="20"/>
                <w:szCs w:val="20"/>
                <w:lang w:eastAsia="en-US"/>
              </w:rPr>
              <w:t>0%</w:t>
            </w:r>
          </w:p>
        </w:tc>
      </w:tr>
      <w:tr w:rsidR="008F715D" w:rsidRPr="00764E1A" w:rsidTr="002105A0">
        <w:trPr>
          <w:trHeight w:val="251"/>
        </w:trPr>
        <w:tc>
          <w:tcPr>
            <w:tcW w:w="5223" w:type="dxa"/>
            <w:shd w:val="clear" w:color="auto" w:fill="FFFFFF"/>
            <w:hideMark/>
          </w:tcPr>
          <w:p w:rsidR="008F715D" w:rsidRPr="00764E1A" w:rsidRDefault="008F715D" w:rsidP="002105A0">
            <w:pPr>
              <w:pStyle w:val="Retraitcorpsdetexte2"/>
              <w:ind w:firstLine="0"/>
              <w:rPr>
                <w:iCs/>
                <w:sz w:val="20"/>
                <w:szCs w:val="20"/>
                <w:lang w:eastAsia="en-US"/>
              </w:rPr>
            </w:pPr>
            <w:r w:rsidRPr="00764E1A">
              <w:rPr>
                <w:sz w:val="20"/>
                <w:szCs w:val="20"/>
                <w:lang w:eastAsia="en-US"/>
              </w:rPr>
              <w:t>Placements à 84 jours </w:t>
            </w:r>
          </w:p>
        </w:tc>
        <w:tc>
          <w:tcPr>
            <w:tcW w:w="3915" w:type="dxa"/>
            <w:shd w:val="clear" w:color="auto" w:fill="FFFFFF"/>
            <w:hideMark/>
          </w:tcPr>
          <w:p w:rsidR="008F715D" w:rsidRPr="00764E1A" w:rsidRDefault="008F715D" w:rsidP="002105A0">
            <w:pPr>
              <w:pStyle w:val="Retraitcorpsdetexte2"/>
              <w:ind w:firstLine="0"/>
              <w:jc w:val="center"/>
              <w:rPr>
                <w:iCs/>
                <w:sz w:val="20"/>
                <w:szCs w:val="20"/>
                <w:lang w:eastAsia="en-US"/>
              </w:rPr>
            </w:pPr>
            <w:r w:rsidRPr="00764E1A">
              <w:rPr>
                <w:sz w:val="20"/>
                <w:szCs w:val="20"/>
                <w:lang w:eastAsia="en-US"/>
              </w:rPr>
              <w:t>0%</w:t>
            </w:r>
          </w:p>
        </w:tc>
      </w:tr>
    </w:tbl>
    <w:p w:rsidR="008F715D" w:rsidRPr="00CF1C8D" w:rsidRDefault="008F715D" w:rsidP="008F715D">
      <w:pPr>
        <w:spacing w:after="120"/>
        <w:jc w:val="both"/>
        <w:rPr>
          <w:rFonts w:eastAsia="Arial Unicode MS"/>
          <w:sz w:val="20"/>
          <w:szCs w:val="20"/>
        </w:rPr>
      </w:pPr>
      <w:r w:rsidRPr="00CF1C8D">
        <w:rPr>
          <w:rFonts w:eastAsia="Arial Unicode MS"/>
          <w:sz w:val="20"/>
          <w:szCs w:val="20"/>
        </w:rPr>
        <w:t>Source : BEAC</w:t>
      </w:r>
    </w:p>
    <w:p w:rsidR="008F715D" w:rsidRDefault="008F715D" w:rsidP="008F715D">
      <w:pPr>
        <w:spacing w:after="120"/>
        <w:jc w:val="both"/>
        <w:rPr>
          <w:rFonts w:eastAsia="Arial Unicode MS"/>
        </w:rPr>
      </w:pPr>
      <w:r w:rsidRPr="00764E1A">
        <w:rPr>
          <w:rFonts w:eastAsia="Arial Unicode MS"/>
        </w:rPr>
        <w:t>Enfin, les coefficients applicables sur les Dépôts à Terme (DAT), sur les Dépôts à Vue (DAV) et le taux de rémunération des réserves obligatoires ont été reconduits ainsi qu’il suit :</w:t>
      </w:r>
    </w:p>
    <w:tbl>
      <w:tblPr>
        <w:tblW w:w="9439" w:type="dxa"/>
        <w:tblInd w:w="-34"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FFFFFF"/>
        <w:tblLook w:val="04A0"/>
      </w:tblPr>
      <w:tblGrid>
        <w:gridCol w:w="6173"/>
        <w:gridCol w:w="3266"/>
      </w:tblGrid>
      <w:tr w:rsidR="008F715D" w:rsidRPr="00764E1A" w:rsidTr="002105A0">
        <w:trPr>
          <w:trHeight w:val="290"/>
        </w:trPr>
        <w:tc>
          <w:tcPr>
            <w:tcW w:w="6173" w:type="dxa"/>
            <w:shd w:val="clear" w:color="auto" w:fill="FFFFFF"/>
            <w:vAlign w:val="center"/>
            <w:hideMark/>
          </w:tcPr>
          <w:p w:rsidR="008F715D" w:rsidRPr="00764E1A" w:rsidRDefault="008F715D" w:rsidP="002105A0">
            <w:pPr>
              <w:rPr>
                <w:iCs/>
                <w:sz w:val="20"/>
                <w:szCs w:val="20"/>
                <w:lang w:eastAsia="en-US"/>
              </w:rPr>
            </w:pPr>
            <w:r w:rsidRPr="00764E1A">
              <w:rPr>
                <w:sz w:val="20"/>
                <w:szCs w:val="20"/>
                <w:lang w:eastAsia="en-US"/>
              </w:rPr>
              <w:t>Coefficients applicables sur les Dépôts à Vue (DAV) </w:t>
            </w:r>
          </w:p>
        </w:tc>
        <w:tc>
          <w:tcPr>
            <w:tcW w:w="3266" w:type="dxa"/>
            <w:shd w:val="clear" w:color="auto" w:fill="FFFFFF"/>
            <w:vAlign w:val="center"/>
            <w:hideMark/>
          </w:tcPr>
          <w:p w:rsidR="008F715D" w:rsidRPr="00764E1A" w:rsidRDefault="008F715D" w:rsidP="002105A0">
            <w:pPr>
              <w:jc w:val="center"/>
              <w:rPr>
                <w:iCs/>
                <w:sz w:val="20"/>
                <w:szCs w:val="20"/>
                <w:lang w:eastAsia="en-US"/>
              </w:rPr>
            </w:pPr>
            <w:r w:rsidRPr="00764E1A">
              <w:rPr>
                <w:sz w:val="20"/>
                <w:szCs w:val="20"/>
                <w:lang w:eastAsia="en-US"/>
              </w:rPr>
              <w:t>11,75%</w:t>
            </w:r>
          </w:p>
        </w:tc>
      </w:tr>
      <w:tr w:rsidR="008F715D" w:rsidRPr="00764E1A" w:rsidTr="002105A0">
        <w:trPr>
          <w:trHeight w:val="365"/>
        </w:trPr>
        <w:tc>
          <w:tcPr>
            <w:tcW w:w="6173" w:type="dxa"/>
            <w:shd w:val="clear" w:color="auto" w:fill="FFFFFF"/>
            <w:vAlign w:val="center"/>
            <w:hideMark/>
          </w:tcPr>
          <w:p w:rsidR="008F715D" w:rsidRPr="00764E1A" w:rsidRDefault="008F715D" w:rsidP="002105A0">
            <w:pPr>
              <w:rPr>
                <w:iCs/>
                <w:sz w:val="20"/>
                <w:szCs w:val="20"/>
                <w:lang w:eastAsia="en-US"/>
              </w:rPr>
            </w:pPr>
            <w:r w:rsidRPr="00764E1A">
              <w:rPr>
                <w:sz w:val="20"/>
                <w:szCs w:val="20"/>
                <w:lang w:eastAsia="en-US"/>
              </w:rPr>
              <w:t>Coefficients applicables sur les Dépôts à Terme (DAT) </w:t>
            </w:r>
          </w:p>
        </w:tc>
        <w:tc>
          <w:tcPr>
            <w:tcW w:w="3266" w:type="dxa"/>
            <w:shd w:val="clear" w:color="auto" w:fill="FFFFFF"/>
            <w:vAlign w:val="center"/>
            <w:hideMark/>
          </w:tcPr>
          <w:p w:rsidR="008F715D" w:rsidRPr="00764E1A" w:rsidRDefault="008F715D" w:rsidP="002105A0">
            <w:pPr>
              <w:jc w:val="center"/>
              <w:rPr>
                <w:iCs/>
                <w:sz w:val="20"/>
                <w:szCs w:val="20"/>
                <w:lang w:eastAsia="en-US"/>
              </w:rPr>
            </w:pPr>
            <w:r w:rsidRPr="00764E1A">
              <w:rPr>
                <w:sz w:val="20"/>
                <w:szCs w:val="20"/>
                <w:lang w:eastAsia="en-US"/>
              </w:rPr>
              <w:t>9,25%</w:t>
            </w:r>
          </w:p>
        </w:tc>
      </w:tr>
      <w:tr w:rsidR="008F715D" w:rsidRPr="00764E1A" w:rsidTr="002105A0">
        <w:trPr>
          <w:trHeight w:val="269"/>
        </w:trPr>
        <w:tc>
          <w:tcPr>
            <w:tcW w:w="6173" w:type="dxa"/>
            <w:shd w:val="clear" w:color="auto" w:fill="FFFFFF"/>
            <w:vAlign w:val="center"/>
            <w:hideMark/>
          </w:tcPr>
          <w:p w:rsidR="008F715D" w:rsidRPr="00764E1A" w:rsidRDefault="008F715D" w:rsidP="002105A0">
            <w:pPr>
              <w:rPr>
                <w:iCs/>
                <w:sz w:val="20"/>
                <w:szCs w:val="20"/>
                <w:lang w:eastAsia="en-US"/>
              </w:rPr>
            </w:pPr>
            <w:r w:rsidRPr="00764E1A">
              <w:rPr>
                <w:sz w:val="20"/>
                <w:szCs w:val="20"/>
                <w:lang w:eastAsia="en-US"/>
              </w:rPr>
              <w:t>Taux de rémunération des réserves obligatoires </w:t>
            </w:r>
          </w:p>
        </w:tc>
        <w:tc>
          <w:tcPr>
            <w:tcW w:w="3266" w:type="dxa"/>
            <w:shd w:val="clear" w:color="auto" w:fill="FFFFFF"/>
            <w:vAlign w:val="center"/>
            <w:hideMark/>
          </w:tcPr>
          <w:p w:rsidR="008F715D" w:rsidRPr="00764E1A" w:rsidRDefault="008F715D" w:rsidP="002105A0">
            <w:pPr>
              <w:jc w:val="center"/>
              <w:rPr>
                <w:iCs/>
                <w:sz w:val="20"/>
                <w:szCs w:val="20"/>
                <w:lang w:eastAsia="en-US"/>
              </w:rPr>
            </w:pPr>
            <w:r w:rsidRPr="00764E1A">
              <w:rPr>
                <w:sz w:val="20"/>
                <w:szCs w:val="20"/>
                <w:lang w:eastAsia="en-US"/>
              </w:rPr>
              <w:t>0,05%</w:t>
            </w:r>
          </w:p>
        </w:tc>
      </w:tr>
    </w:tbl>
    <w:p w:rsidR="008F715D" w:rsidRDefault="008F715D" w:rsidP="008F715D">
      <w:pPr>
        <w:spacing w:after="120"/>
        <w:jc w:val="both"/>
        <w:rPr>
          <w:rFonts w:eastAsia="Arial Unicode MS"/>
          <w:sz w:val="20"/>
          <w:szCs w:val="20"/>
        </w:rPr>
      </w:pPr>
      <w:r w:rsidRPr="00CF1C8D">
        <w:rPr>
          <w:rFonts w:eastAsia="Arial Unicode MS"/>
          <w:sz w:val="20"/>
          <w:szCs w:val="20"/>
        </w:rPr>
        <w:t>Source : BEAC</w:t>
      </w:r>
    </w:p>
    <w:p w:rsidR="008F715D" w:rsidRPr="00A333EE" w:rsidRDefault="008F715D" w:rsidP="008F715D">
      <w:pPr>
        <w:pStyle w:val="Titre2"/>
        <w:rPr>
          <w:b/>
          <w:bCs/>
          <w:i w:val="0"/>
          <w:color w:val="0000FF"/>
          <w:sz w:val="24"/>
        </w:rPr>
      </w:pPr>
      <w:bookmarkStart w:id="309" w:name="_Toc462990887"/>
      <w:r w:rsidRPr="00A333EE">
        <w:rPr>
          <w:b/>
          <w:bCs/>
          <w:i w:val="0"/>
          <w:color w:val="0000FF"/>
          <w:sz w:val="24"/>
        </w:rPr>
        <w:t>III.6 LE BUDGET EXECUTE DE L’ETAT A FIN JUIN 2016</w:t>
      </w:r>
      <w:bookmarkEnd w:id="309"/>
      <w:r w:rsidRPr="00A333EE">
        <w:rPr>
          <w:b/>
          <w:bCs/>
          <w:i w:val="0"/>
          <w:color w:val="0000FF"/>
          <w:sz w:val="24"/>
        </w:rPr>
        <w:t xml:space="preserve"> </w:t>
      </w:r>
    </w:p>
    <w:p w:rsidR="008F715D" w:rsidRPr="00B02DAA" w:rsidRDefault="008F715D" w:rsidP="008F715D"/>
    <w:p w:rsidR="008F715D" w:rsidRDefault="008F715D" w:rsidP="008F715D">
      <w:pPr>
        <w:suppressAutoHyphens/>
        <w:autoSpaceDE w:val="0"/>
        <w:autoSpaceDN w:val="0"/>
        <w:jc w:val="both"/>
        <w:textAlignment w:val="baseline"/>
        <w:rPr>
          <w:i/>
          <w:sz w:val="20"/>
          <w:szCs w:val="20"/>
        </w:rPr>
      </w:pPr>
    </w:p>
    <w:p w:rsidR="008F715D" w:rsidRDefault="008F715D" w:rsidP="008F715D">
      <w:pPr>
        <w:pStyle w:val="Titre3"/>
        <w:ind w:firstLine="0"/>
        <w:rPr>
          <w:b/>
          <w:bCs/>
          <w:i/>
          <w:iCs/>
          <w:color w:val="0000FF"/>
          <w:sz w:val="24"/>
        </w:rPr>
      </w:pPr>
      <w:bookmarkStart w:id="310" w:name="_Toc447721768"/>
      <w:bookmarkStart w:id="311" w:name="_Toc446528855"/>
      <w:bookmarkStart w:id="312" w:name="_Toc436475116"/>
      <w:bookmarkStart w:id="313" w:name="_Toc462990888"/>
      <w:r>
        <w:rPr>
          <w:b/>
          <w:bCs/>
          <w:i/>
          <w:iCs/>
          <w:color w:val="0000FF"/>
          <w:sz w:val="24"/>
        </w:rPr>
        <w:t>III.6.1. L’exécution du budget</w:t>
      </w:r>
      <w:bookmarkEnd w:id="310"/>
      <w:bookmarkEnd w:id="311"/>
      <w:bookmarkEnd w:id="312"/>
      <w:bookmarkEnd w:id="313"/>
    </w:p>
    <w:p w:rsidR="008F715D" w:rsidRDefault="008F715D" w:rsidP="008F715D">
      <w:pPr>
        <w:autoSpaceDE w:val="0"/>
        <w:autoSpaceDN w:val="0"/>
        <w:adjustRightInd w:val="0"/>
        <w:spacing w:before="240" w:after="240" w:line="276" w:lineRule="auto"/>
        <w:jc w:val="both"/>
      </w:pPr>
      <w:bookmarkStart w:id="314" w:name="_Toc436475117"/>
      <w:r>
        <w:t>A fin juin 2016, l’exécution du budget fait ressortir des déficits des soldes primaire, base engagement et base caisse.</w:t>
      </w:r>
    </w:p>
    <w:p w:rsidR="008F715D" w:rsidRDefault="008F715D" w:rsidP="008F715D">
      <w:pPr>
        <w:autoSpaceDE w:val="0"/>
        <w:autoSpaceDN w:val="0"/>
        <w:adjustRightInd w:val="0"/>
        <w:spacing w:before="240" w:after="240" w:line="276" w:lineRule="auto"/>
        <w:jc w:val="both"/>
      </w:pPr>
      <w:r>
        <w:t>Le solde primaire a affiché un déficit de 35,9 milliards de FCFA contre un excédent de 232,9 milliards de FCFA à la même période en 2015. Cette diminution est principalement imputable à la contraction des recettes aussi bien pétrolières que non pétrolières.</w:t>
      </w:r>
    </w:p>
    <w:p w:rsidR="008F715D" w:rsidRDefault="008F715D" w:rsidP="008F715D">
      <w:pPr>
        <w:autoSpaceDE w:val="0"/>
        <w:autoSpaceDN w:val="0"/>
        <w:adjustRightInd w:val="0"/>
        <w:spacing w:before="240" w:after="240" w:line="276" w:lineRule="auto"/>
        <w:jc w:val="both"/>
      </w:pPr>
      <w:r>
        <w:t>Le solde base engagement, incluant la charge de la dette publique, s’est établi à -132,6 milliards de FCFA à fin juin 2016 contre un excédent de 159,8 milliards de FCFA au premier semestre de l’année précédente. Ce déficit est dû à la baisse des recettes budgétaires et au renforcement de la charge de la dette (+32,3%).</w:t>
      </w:r>
    </w:p>
    <w:p w:rsidR="008F715D" w:rsidRDefault="008F715D" w:rsidP="008F715D">
      <w:pPr>
        <w:autoSpaceDE w:val="0"/>
        <w:autoSpaceDN w:val="0"/>
        <w:adjustRightInd w:val="0"/>
        <w:spacing w:before="240" w:after="240" w:line="276" w:lineRule="auto"/>
        <w:jc w:val="both"/>
      </w:pPr>
      <w:r>
        <w:lastRenderedPageBreak/>
        <w:t>Le déficit budgétaire base caisse s’est établi à 312,0 milliards de FCFA au premier semestre 2016 contre un excédent de 13,2 milliards de FCFA à la même période en 2015. Cette évolution résulte essentiellement de la réduction des instances du Trésor (-189,3 milliards de FCFA contre -147,1 milliards à fin juin 2015).</w:t>
      </w:r>
    </w:p>
    <w:p w:rsidR="008F715D" w:rsidRDefault="008F715D" w:rsidP="008F715D">
      <w:pPr>
        <w:autoSpaceDE w:val="0"/>
        <w:autoSpaceDN w:val="0"/>
        <w:adjustRightInd w:val="0"/>
        <w:spacing w:line="276" w:lineRule="auto"/>
        <w:rPr>
          <w:rFonts w:ascii="Calibri" w:hAnsi="Calibri" w:cs="Calibri"/>
          <w:b/>
          <w:bCs/>
          <w:i/>
          <w:sz w:val="22"/>
          <w:szCs w:val="22"/>
        </w:rPr>
      </w:pPr>
      <w:r>
        <w:rPr>
          <w:rFonts w:ascii="Calibri" w:hAnsi="Calibri" w:cs="Calibri"/>
          <w:b/>
          <w:bCs/>
          <w:i/>
          <w:sz w:val="22"/>
          <w:szCs w:val="22"/>
        </w:rPr>
        <w:t>Evolution des soldes</w:t>
      </w:r>
    </w:p>
    <w:tbl>
      <w:tblPr>
        <w:tblW w:w="9087" w:type="dxa"/>
        <w:tblInd w:w="55" w:type="dxa"/>
        <w:tblCellMar>
          <w:left w:w="70" w:type="dxa"/>
          <w:right w:w="70" w:type="dxa"/>
        </w:tblCellMar>
        <w:tblLook w:val="04A0"/>
      </w:tblPr>
      <w:tblGrid>
        <w:gridCol w:w="3843"/>
        <w:gridCol w:w="1701"/>
        <w:gridCol w:w="1842"/>
        <w:gridCol w:w="1701"/>
      </w:tblGrid>
      <w:tr w:rsidR="008F715D" w:rsidTr="002105A0">
        <w:trPr>
          <w:trHeight w:val="285"/>
        </w:trPr>
        <w:tc>
          <w:tcPr>
            <w:tcW w:w="3843" w:type="dxa"/>
            <w:vMerge w:val="restart"/>
            <w:tcBorders>
              <w:top w:val="single" w:sz="12" w:space="0" w:color="0070C0"/>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En milliards de FCFA</w:t>
            </w:r>
          </w:p>
        </w:tc>
        <w:tc>
          <w:tcPr>
            <w:tcW w:w="5244" w:type="dxa"/>
            <w:gridSpan w:val="3"/>
            <w:tcBorders>
              <w:top w:val="single" w:sz="12" w:space="0" w:color="0070C0"/>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Premier semestre</w:t>
            </w:r>
          </w:p>
        </w:tc>
      </w:tr>
      <w:tr w:rsidR="008F715D" w:rsidTr="002105A0">
        <w:trPr>
          <w:trHeight w:val="285"/>
        </w:trPr>
        <w:tc>
          <w:tcPr>
            <w:tcW w:w="0" w:type="auto"/>
            <w:vMerge/>
            <w:tcBorders>
              <w:top w:val="single" w:sz="12" w:space="0" w:color="0070C0"/>
              <w:left w:val="single" w:sz="12" w:space="0" w:color="0070C0"/>
              <w:bottom w:val="single" w:sz="12" w:space="0" w:color="0070C0"/>
              <w:right w:val="single" w:sz="12" w:space="0" w:color="0070C0"/>
            </w:tcBorders>
            <w:vAlign w:val="center"/>
            <w:hideMark/>
          </w:tcPr>
          <w:p w:rsidR="008F715D" w:rsidRDefault="008F715D" w:rsidP="002105A0">
            <w:pPr>
              <w:rPr>
                <w:b/>
                <w:bCs/>
                <w:sz w:val="20"/>
                <w:szCs w:val="20"/>
              </w:rPr>
            </w:pP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2015</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2016</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Variations</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Recettes pétrolières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378,4</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159,2</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-57,9%</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Recettes hors pétrole</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574,9</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524,8</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-8,7%</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Recettes comptes spéciaux</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41,0</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67,0</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63,4%</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Recettes totales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994,3</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751,0</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-24,5%</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Dépenses de fonctionnement</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560,8</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575,6</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2,6%</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Dépenses d'investissement</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196,7</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169,8</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-13,7%</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Autres dépenses*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3,9</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41,5</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Dépenses primaires totales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761,4</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786,9</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3,3%</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Intérêts sur la dette</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73,1</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96,7</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32,3%</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Solde primaire</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232,9</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-35,9</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-115,4%</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Solde base engagement</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159,8</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-132,6</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-183,0%</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Solde base caisse</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13,2</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-312,0</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w:t>
            </w:r>
          </w:p>
        </w:tc>
      </w:tr>
    </w:tbl>
    <w:p w:rsidR="008F715D" w:rsidRDefault="008F715D" w:rsidP="008F715D">
      <w:pPr>
        <w:autoSpaceDE w:val="0"/>
        <w:autoSpaceDN w:val="0"/>
        <w:adjustRightInd w:val="0"/>
        <w:spacing w:line="276" w:lineRule="auto"/>
        <w:rPr>
          <w:rFonts w:ascii="Calibri" w:hAnsi="Calibri" w:cs="Calibri"/>
          <w:bCs/>
          <w:i/>
          <w:sz w:val="16"/>
          <w:szCs w:val="16"/>
        </w:rPr>
      </w:pPr>
      <w:r>
        <w:rPr>
          <w:rFonts w:ascii="Calibri" w:hAnsi="Calibri" w:cs="Calibri"/>
          <w:bCs/>
          <w:i/>
          <w:sz w:val="16"/>
          <w:szCs w:val="16"/>
        </w:rPr>
        <w:t>* Hors intérêts sur la dette</w:t>
      </w:r>
    </w:p>
    <w:p w:rsidR="008F715D" w:rsidRDefault="008F715D" w:rsidP="008F715D">
      <w:pPr>
        <w:autoSpaceDE w:val="0"/>
        <w:autoSpaceDN w:val="0"/>
        <w:adjustRightInd w:val="0"/>
        <w:spacing w:line="276" w:lineRule="auto"/>
        <w:rPr>
          <w:rFonts w:ascii="Calibri" w:hAnsi="Calibri" w:cs="Calibri"/>
          <w:b/>
          <w:bCs/>
          <w:i/>
          <w:sz w:val="20"/>
          <w:szCs w:val="20"/>
        </w:rPr>
      </w:pPr>
      <w:r w:rsidRPr="00C56AA0">
        <w:rPr>
          <w:rFonts w:ascii="Calibri" w:hAnsi="Calibri" w:cs="Calibri"/>
          <w:b/>
          <w:bCs/>
          <w:i/>
          <w:sz w:val="20"/>
          <w:szCs w:val="20"/>
        </w:rPr>
        <w:t xml:space="preserve">Source : DGCPT </w:t>
      </w:r>
    </w:p>
    <w:p w:rsidR="008F715D" w:rsidRDefault="008F715D" w:rsidP="008F715D">
      <w:pPr>
        <w:autoSpaceDE w:val="0"/>
        <w:autoSpaceDN w:val="0"/>
        <w:adjustRightInd w:val="0"/>
        <w:spacing w:line="276" w:lineRule="auto"/>
        <w:rPr>
          <w:rFonts w:ascii="Calibri" w:hAnsi="Calibri" w:cs="Calibri"/>
          <w:i/>
          <w:sz w:val="18"/>
          <w:szCs w:val="18"/>
        </w:rPr>
      </w:pPr>
    </w:p>
    <w:p w:rsidR="008F715D" w:rsidRPr="004F0BB1" w:rsidRDefault="008F715D" w:rsidP="008F715D">
      <w:pPr>
        <w:pStyle w:val="Titre3"/>
        <w:ind w:firstLine="0"/>
        <w:rPr>
          <w:b/>
          <w:bCs/>
          <w:i/>
          <w:iCs/>
          <w:color w:val="0000FF"/>
          <w:sz w:val="24"/>
        </w:rPr>
      </w:pPr>
      <w:bookmarkStart w:id="315" w:name="_Toc447721769"/>
      <w:bookmarkStart w:id="316" w:name="_Toc446528856"/>
      <w:bookmarkStart w:id="317" w:name="_Toc462990889"/>
      <w:r w:rsidRPr="004F0BB1">
        <w:rPr>
          <w:b/>
          <w:bCs/>
          <w:i/>
          <w:iCs/>
          <w:color w:val="0000FF"/>
          <w:sz w:val="24"/>
        </w:rPr>
        <w:t>III.6.2. L’exécution des recettes</w:t>
      </w:r>
      <w:bookmarkEnd w:id="314"/>
      <w:bookmarkEnd w:id="315"/>
      <w:bookmarkEnd w:id="316"/>
      <w:bookmarkEnd w:id="317"/>
    </w:p>
    <w:p w:rsidR="008F715D" w:rsidRDefault="008F715D" w:rsidP="008F715D">
      <w:pPr>
        <w:autoSpaceDE w:val="0"/>
        <w:autoSpaceDN w:val="0"/>
        <w:adjustRightInd w:val="0"/>
        <w:spacing w:after="240" w:line="276" w:lineRule="auto"/>
        <w:jc w:val="both"/>
      </w:pPr>
    </w:p>
    <w:p w:rsidR="008F715D" w:rsidRDefault="008F715D" w:rsidP="008F715D">
      <w:pPr>
        <w:autoSpaceDE w:val="0"/>
        <w:autoSpaceDN w:val="0"/>
        <w:adjustRightInd w:val="0"/>
        <w:spacing w:after="240" w:line="276" w:lineRule="auto"/>
        <w:jc w:val="both"/>
      </w:pPr>
      <w:r>
        <w:t>Au premier semestre 2016, le budget en recettes s’est établi à 751,0 milliards de FCFA, soit une diminution de 24,5% par rapport à la même période en 2015. Ce repli est dû à la contraction conjointe des recettes pétrolières et non pétrolières, nonobstant la consolidation des recettes des comptes spéciaux.</w:t>
      </w:r>
    </w:p>
    <w:p w:rsidR="008F715D" w:rsidRDefault="008F715D" w:rsidP="008F715D">
      <w:pPr>
        <w:pStyle w:val="Titre3"/>
        <w:ind w:firstLine="0"/>
        <w:rPr>
          <w:b/>
          <w:bCs/>
          <w:i/>
          <w:iCs/>
          <w:color w:val="0000FF"/>
          <w:sz w:val="24"/>
        </w:rPr>
      </w:pPr>
      <w:bookmarkStart w:id="318" w:name="_Toc447721770"/>
      <w:bookmarkStart w:id="319" w:name="_Toc446528857"/>
      <w:bookmarkStart w:id="320" w:name="_Toc462990890"/>
      <w:r>
        <w:rPr>
          <w:b/>
          <w:bCs/>
          <w:i/>
          <w:iCs/>
          <w:color w:val="0000FF"/>
          <w:sz w:val="24"/>
        </w:rPr>
        <w:t>III.6.2.1 Les recettes pétrolières</w:t>
      </w:r>
      <w:bookmarkEnd w:id="318"/>
      <w:bookmarkEnd w:id="319"/>
      <w:bookmarkEnd w:id="320"/>
    </w:p>
    <w:p w:rsidR="008F715D" w:rsidRDefault="008F715D" w:rsidP="008F715D"/>
    <w:p w:rsidR="008F715D" w:rsidRDefault="008F715D" w:rsidP="008F715D">
      <w:pPr>
        <w:autoSpaceDE w:val="0"/>
        <w:autoSpaceDN w:val="0"/>
        <w:adjustRightInd w:val="0"/>
        <w:spacing w:after="240" w:line="276" w:lineRule="auto"/>
        <w:jc w:val="both"/>
      </w:pPr>
      <w:r>
        <w:t>Au terme des six premiers mois de l’année 2016, un montant de 159,2 milliards de FCFA a été collecté sur les recettes pétrolières, soit un taux d’exécution de 26,5% par rapport aux prévisions initiales annuelles de 2016 (+600,7 milliards de FCFA). Aussi, comparativement au premier semestre de l’année 2015, les recettes pétrolières ont diminué de 57,9% à fin juin 2016. Toutes les composantes sont en baisse : la redevance minière proportionnelle (-25,8%), les transferts à SOGARA (-75,2%) et les autres recettes (-31,3%). D’une manière globale, la baisse des recettes pétrolières s’explique par la chute des prix du pétrole (-32,8%) au premier semestre 2016, en dépit de la quasi-stabilité de la production pétrolière sur la période.</w:t>
      </w:r>
    </w:p>
    <w:p w:rsidR="008F715D" w:rsidRDefault="008F715D" w:rsidP="008F715D">
      <w:pPr>
        <w:autoSpaceDE w:val="0"/>
        <w:autoSpaceDN w:val="0"/>
        <w:adjustRightInd w:val="0"/>
        <w:spacing w:line="276" w:lineRule="auto"/>
        <w:rPr>
          <w:b/>
          <w:bCs/>
          <w:i/>
          <w:sz w:val="22"/>
          <w:szCs w:val="22"/>
        </w:rPr>
      </w:pPr>
      <w:r>
        <w:rPr>
          <w:b/>
          <w:bCs/>
          <w:i/>
          <w:sz w:val="22"/>
          <w:szCs w:val="22"/>
        </w:rPr>
        <w:t>Evolution des recettes pétrolières</w:t>
      </w:r>
    </w:p>
    <w:tbl>
      <w:tblPr>
        <w:tblW w:w="9087" w:type="dxa"/>
        <w:tblInd w:w="55" w:type="dxa"/>
        <w:tblCellMar>
          <w:left w:w="70" w:type="dxa"/>
          <w:right w:w="70" w:type="dxa"/>
        </w:tblCellMar>
        <w:tblLook w:val="04A0"/>
      </w:tblPr>
      <w:tblGrid>
        <w:gridCol w:w="3843"/>
        <w:gridCol w:w="1701"/>
        <w:gridCol w:w="1842"/>
        <w:gridCol w:w="1701"/>
      </w:tblGrid>
      <w:tr w:rsidR="008F715D" w:rsidTr="002105A0">
        <w:trPr>
          <w:trHeight w:val="285"/>
        </w:trPr>
        <w:tc>
          <w:tcPr>
            <w:tcW w:w="3843" w:type="dxa"/>
            <w:vMerge w:val="restart"/>
            <w:tcBorders>
              <w:top w:val="single" w:sz="12" w:space="0" w:color="0070C0"/>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(En milliards de FCFA)</w:t>
            </w:r>
          </w:p>
        </w:tc>
        <w:tc>
          <w:tcPr>
            <w:tcW w:w="5244" w:type="dxa"/>
            <w:gridSpan w:val="3"/>
            <w:tcBorders>
              <w:top w:val="single" w:sz="12" w:space="0" w:color="0070C0"/>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Premier Semestre</w:t>
            </w:r>
          </w:p>
        </w:tc>
      </w:tr>
      <w:tr w:rsidR="008F715D" w:rsidTr="002105A0">
        <w:trPr>
          <w:trHeight w:val="285"/>
        </w:trPr>
        <w:tc>
          <w:tcPr>
            <w:tcW w:w="0" w:type="auto"/>
            <w:vMerge/>
            <w:tcBorders>
              <w:top w:val="single" w:sz="12" w:space="0" w:color="0070C0"/>
              <w:left w:val="single" w:sz="12" w:space="0" w:color="0070C0"/>
              <w:bottom w:val="single" w:sz="12" w:space="0" w:color="0070C0"/>
              <w:right w:val="single" w:sz="12" w:space="0" w:color="0070C0"/>
            </w:tcBorders>
            <w:vAlign w:val="center"/>
            <w:hideMark/>
          </w:tcPr>
          <w:p w:rsidR="008F715D" w:rsidRDefault="008F715D" w:rsidP="002105A0">
            <w:pPr>
              <w:rPr>
                <w:b/>
                <w:bCs/>
                <w:sz w:val="20"/>
                <w:szCs w:val="20"/>
              </w:rPr>
            </w:pP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2015</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2016</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Variations</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Impôts sur les sociétés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44,3</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0,0</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lastRenderedPageBreak/>
              <w:t>Redevance Minière Proportionnelle</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119,2</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88,4</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-25,8%</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Autres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175</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43,4</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-75,2%</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Transferts SOGARA</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39,9</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27,4</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-31,3%</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Total des recettes pétrolières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378,4</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159,2</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sz w:val="20"/>
                <w:szCs w:val="20"/>
              </w:rPr>
            </w:pPr>
            <w:r>
              <w:rPr>
                <w:b/>
                <w:sz w:val="20"/>
                <w:szCs w:val="20"/>
              </w:rPr>
              <w:t>-57,9%</w:t>
            </w:r>
          </w:p>
        </w:tc>
      </w:tr>
    </w:tbl>
    <w:p w:rsidR="008F715D" w:rsidRPr="00C56AA0" w:rsidRDefault="008F715D" w:rsidP="008F715D">
      <w:pPr>
        <w:spacing w:afterLines="40"/>
        <w:jc w:val="both"/>
        <w:rPr>
          <w:i/>
          <w:sz w:val="20"/>
          <w:szCs w:val="20"/>
        </w:rPr>
      </w:pPr>
      <w:r w:rsidRPr="00C56AA0">
        <w:rPr>
          <w:i/>
          <w:sz w:val="20"/>
          <w:szCs w:val="20"/>
        </w:rPr>
        <w:t>Source : DGCPT</w:t>
      </w:r>
    </w:p>
    <w:p w:rsidR="008F715D" w:rsidRPr="0097597D" w:rsidRDefault="008F715D" w:rsidP="008F715D">
      <w:pPr>
        <w:pStyle w:val="Titre3"/>
        <w:ind w:firstLine="0"/>
        <w:rPr>
          <w:b/>
          <w:bCs/>
          <w:i/>
          <w:iCs/>
          <w:color w:val="0000FF"/>
          <w:sz w:val="24"/>
        </w:rPr>
      </w:pPr>
      <w:bookmarkStart w:id="321" w:name="_Toc447721771"/>
      <w:bookmarkStart w:id="322" w:name="_Toc446528858"/>
      <w:bookmarkStart w:id="323" w:name="_Toc462990891"/>
      <w:r>
        <w:rPr>
          <w:b/>
          <w:bCs/>
          <w:i/>
          <w:iCs/>
          <w:color w:val="0000FF"/>
          <w:sz w:val="24"/>
        </w:rPr>
        <w:t>III.6.2.2 Les recettes hors pétrole</w:t>
      </w:r>
      <w:bookmarkEnd w:id="321"/>
      <w:bookmarkEnd w:id="322"/>
      <w:bookmarkEnd w:id="323"/>
    </w:p>
    <w:p w:rsidR="008F715D" w:rsidRDefault="008F715D" w:rsidP="008F715D">
      <w:pPr>
        <w:spacing w:before="240" w:after="240" w:line="276" w:lineRule="auto"/>
        <w:jc w:val="both"/>
      </w:pPr>
      <w:r>
        <w:t>Arrêtées à 1443,1 milliards de FCFA dans la loi de finances 2016, les recettes hors pétrole se sont établies à 524,8 milliards de FCFA au terme des six premiers mois de l’année 2016, soit un taux d’exécution de 36,4%. La baisse de 8,7% des recettes hors pétrole sur cette période résulte essentiellement de la diminution du recouvrement aussi bien des droits de douanes (-18,8%) que de l’impôt sur les sociétés (-39,3%).</w:t>
      </w:r>
      <w:r w:rsidRPr="00CF1C8D">
        <w:t xml:space="preserve"> </w:t>
      </w:r>
      <w:r>
        <w:t xml:space="preserve">D’une manière globale, la contraction de 8,7% des recettes s’explique par </w:t>
      </w:r>
      <w:r w:rsidRPr="00CF1C8D">
        <w:t>l</w:t>
      </w:r>
      <w:r>
        <w:t xml:space="preserve">e ralentissement voir </w:t>
      </w:r>
      <w:r w:rsidRPr="00CF1C8D">
        <w:t xml:space="preserve">dégradation continue </w:t>
      </w:r>
      <w:r>
        <w:t xml:space="preserve">de l’activité économique par rapport à 2015 (commerce, services y compris dans le secteur pétrolier) </w:t>
      </w:r>
      <w:r w:rsidRPr="00CF1C8D">
        <w:t>et du maintien des mesures dérogatoires en faveur de certains contribuables (exonérations des indemnités de rupture de contrat de travail, exonération de certains marchés publics, et les exonérations discrétionnaires, etc…)</w:t>
      </w:r>
      <w:r>
        <w:t xml:space="preserve"> aussi bien dans la fiscalité intérieure que de porte</w:t>
      </w:r>
      <w:r w:rsidRPr="00CF1C8D">
        <w:t>.</w:t>
      </w:r>
    </w:p>
    <w:p w:rsidR="008F715D" w:rsidRDefault="008F715D" w:rsidP="008F715D">
      <w:pPr>
        <w:autoSpaceDE w:val="0"/>
        <w:autoSpaceDN w:val="0"/>
        <w:adjustRightInd w:val="0"/>
        <w:spacing w:line="276" w:lineRule="auto"/>
        <w:rPr>
          <w:b/>
          <w:bCs/>
          <w:i/>
          <w:sz w:val="22"/>
          <w:szCs w:val="22"/>
        </w:rPr>
      </w:pPr>
      <w:r>
        <w:rPr>
          <w:b/>
          <w:bCs/>
          <w:i/>
          <w:sz w:val="22"/>
          <w:szCs w:val="22"/>
        </w:rPr>
        <w:t>Evolution des recettes hors pétrole</w:t>
      </w:r>
    </w:p>
    <w:tbl>
      <w:tblPr>
        <w:tblW w:w="9087" w:type="dxa"/>
        <w:tblInd w:w="55" w:type="dxa"/>
        <w:tblCellMar>
          <w:left w:w="70" w:type="dxa"/>
          <w:right w:w="70" w:type="dxa"/>
        </w:tblCellMar>
        <w:tblLook w:val="04A0"/>
      </w:tblPr>
      <w:tblGrid>
        <w:gridCol w:w="3843"/>
        <w:gridCol w:w="1701"/>
        <w:gridCol w:w="1842"/>
        <w:gridCol w:w="1701"/>
      </w:tblGrid>
      <w:tr w:rsidR="008F715D" w:rsidTr="002105A0">
        <w:trPr>
          <w:trHeight w:val="285"/>
        </w:trPr>
        <w:tc>
          <w:tcPr>
            <w:tcW w:w="3843" w:type="dxa"/>
            <w:vMerge w:val="restart"/>
            <w:tcBorders>
              <w:top w:val="single" w:sz="12" w:space="0" w:color="0070C0"/>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En milliards de FCFA</w:t>
            </w:r>
          </w:p>
        </w:tc>
        <w:tc>
          <w:tcPr>
            <w:tcW w:w="5244" w:type="dxa"/>
            <w:gridSpan w:val="3"/>
            <w:tcBorders>
              <w:top w:val="single" w:sz="12" w:space="0" w:color="0070C0"/>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Premier Semestre</w:t>
            </w:r>
          </w:p>
        </w:tc>
      </w:tr>
      <w:tr w:rsidR="008F715D" w:rsidTr="002105A0">
        <w:trPr>
          <w:trHeight w:val="285"/>
        </w:trPr>
        <w:tc>
          <w:tcPr>
            <w:tcW w:w="0" w:type="auto"/>
            <w:vMerge/>
            <w:tcBorders>
              <w:top w:val="single" w:sz="12" w:space="0" w:color="0070C0"/>
              <w:left w:val="single" w:sz="12" w:space="0" w:color="0070C0"/>
              <w:bottom w:val="single" w:sz="12" w:space="0" w:color="0070C0"/>
              <w:right w:val="single" w:sz="12" w:space="0" w:color="0070C0"/>
            </w:tcBorders>
            <w:vAlign w:val="center"/>
            <w:hideMark/>
          </w:tcPr>
          <w:p w:rsidR="008F715D" w:rsidRDefault="008F715D" w:rsidP="002105A0">
            <w:pPr>
              <w:rPr>
                <w:b/>
                <w:bCs/>
                <w:sz w:val="20"/>
                <w:szCs w:val="20"/>
              </w:rPr>
            </w:pP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2015</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2016</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Variations</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Droits de douanes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177,8</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144,4</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-18,8%</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Taxes sur les biens et services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54,4</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106,6</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96,0%</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i/>
                <w:iCs/>
                <w:sz w:val="20"/>
                <w:szCs w:val="20"/>
              </w:rPr>
            </w:pPr>
            <w:r>
              <w:rPr>
                <w:i/>
                <w:iCs/>
                <w:sz w:val="20"/>
                <w:szCs w:val="20"/>
              </w:rPr>
              <w:t>dont TVA</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i/>
                <w:iCs/>
                <w:sz w:val="20"/>
                <w:szCs w:val="20"/>
              </w:rPr>
            </w:pPr>
            <w:r>
              <w:rPr>
                <w:i/>
                <w:iCs/>
                <w:sz w:val="20"/>
                <w:szCs w:val="20"/>
              </w:rPr>
              <w:t>25,7</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i/>
                <w:iCs/>
                <w:sz w:val="20"/>
                <w:szCs w:val="20"/>
              </w:rPr>
            </w:pPr>
            <w:r>
              <w:rPr>
                <w:i/>
                <w:iCs/>
                <w:sz w:val="20"/>
                <w:szCs w:val="20"/>
              </w:rPr>
              <w:t>73,0</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184,0%</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Impôts directs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254,3</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184,4</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-27,5%</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Autres recettes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88,4</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89,4</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1,1%</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Total de recettes hors pétrole</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574,9</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524,8</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-8,7%</w:t>
            </w:r>
          </w:p>
        </w:tc>
      </w:tr>
    </w:tbl>
    <w:p w:rsidR="008F715D" w:rsidRPr="00C56AA0" w:rsidRDefault="008F715D" w:rsidP="008F715D">
      <w:pPr>
        <w:spacing w:afterLines="40"/>
        <w:jc w:val="both"/>
        <w:rPr>
          <w:i/>
          <w:sz w:val="20"/>
          <w:szCs w:val="20"/>
        </w:rPr>
      </w:pPr>
      <w:r w:rsidRPr="00C56AA0">
        <w:rPr>
          <w:i/>
          <w:sz w:val="20"/>
          <w:szCs w:val="20"/>
        </w:rPr>
        <w:t>Source : DGCPT</w:t>
      </w:r>
    </w:p>
    <w:p w:rsidR="008F715D" w:rsidRDefault="008F715D" w:rsidP="008F715D">
      <w:pPr>
        <w:autoSpaceDE w:val="0"/>
        <w:autoSpaceDN w:val="0"/>
        <w:adjustRightInd w:val="0"/>
        <w:spacing w:line="276" w:lineRule="auto"/>
        <w:rPr>
          <w:b/>
          <w:bCs/>
          <w:i/>
          <w:sz w:val="22"/>
          <w:szCs w:val="22"/>
        </w:rPr>
      </w:pPr>
    </w:p>
    <w:p w:rsidR="008F715D" w:rsidRDefault="008F715D" w:rsidP="008F715D">
      <w:pPr>
        <w:pStyle w:val="Titre3"/>
        <w:ind w:firstLine="0"/>
        <w:rPr>
          <w:b/>
          <w:bCs/>
          <w:i/>
          <w:iCs/>
          <w:color w:val="0000FF"/>
          <w:sz w:val="24"/>
        </w:rPr>
      </w:pPr>
      <w:bookmarkStart w:id="324" w:name="_Toc447721772"/>
      <w:bookmarkStart w:id="325" w:name="_Toc446528859"/>
      <w:bookmarkStart w:id="326" w:name="_Toc462990892"/>
      <w:bookmarkStart w:id="327" w:name="_Toc436475118"/>
      <w:r>
        <w:rPr>
          <w:b/>
          <w:bCs/>
          <w:i/>
          <w:iCs/>
          <w:color w:val="0000FF"/>
          <w:sz w:val="24"/>
        </w:rPr>
        <w:t>III.6.3. Les dépenses budgétaires</w:t>
      </w:r>
      <w:bookmarkEnd w:id="324"/>
      <w:bookmarkEnd w:id="325"/>
      <w:bookmarkEnd w:id="326"/>
      <w:r>
        <w:rPr>
          <w:b/>
          <w:bCs/>
          <w:i/>
          <w:iCs/>
          <w:color w:val="0000FF"/>
          <w:sz w:val="24"/>
        </w:rPr>
        <w:t xml:space="preserve"> </w:t>
      </w:r>
      <w:bookmarkEnd w:id="327"/>
    </w:p>
    <w:p w:rsidR="008F715D" w:rsidRDefault="008F715D" w:rsidP="008F715D">
      <w:pPr>
        <w:spacing w:before="240" w:after="240" w:line="276" w:lineRule="auto"/>
        <w:jc w:val="both"/>
      </w:pPr>
      <w:r>
        <w:t>A fin juin 2016, les dépenses budgétaires cumulées ont enregistré un accroissement de 5,9% à 883,6 milliards de FCFA. Hors paiement des intérêts de la dette publique, elles ont augmenté de 3,3% à 786,9 milliards de FCFA. Les dépenses hors paiement des intérêts (dépenses primaires) sont constituées des dépenses de fonctionnement, des dépenses d’investissement et des autres dépenses.</w:t>
      </w:r>
    </w:p>
    <w:p w:rsidR="008F715D" w:rsidRDefault="008F715D" w:rsidP="008F715D">
      <w:pPr>
        <w:pStyle w:val="Titre3"/>
        <w:ind w:firstLine="0"/>
        <w:rPr>
          <w:b/>
          <w:bCs/>
          <w:i/>
          <w:iCs/>
          <w:color w:val="0000FF"/>
          <w:sz w:val="24"/>
        </w:rPr>
      </w:pPr>
      <w:bookmarkStart w:id="328" w:name="_Toc447721773"/>
      <w:bookmarkStart w:id="329" w:name="_Toc446528860"/>
      <w:bookmarkStart w:id="330" w:name="_Toc462990893"/>
      <w:r>
        <w:rPr>
          <w:b/>
          <w:bCs/>
          <w:i/>
          <w:iCs/>
          <w:color w:val="0000FF"/>
          <w:sz w:val="24"/>
        </w:rPr>
        <w:t>III.6.3.1 Les dépenses de fonctionnement</w:t>
      </w:r>
      <w:bookmarkEnd w:id="328"/>
      <w:bookmarkEnd w:id="329"/>
      <w:bookmarkEnd w:id="330"/>
      <w:r>
        <w:rPr>
          <w:b/>
          <w:bCs/>
          <w:i/>
          <w:iCs/>
          <w:color w:val="0000FF"/>
          <w:sz w:val="24"/>
        </w:rPr>
        <w:t xml:space="preserve"> </w:t>
      </w:r>
    </w:p>
    <w:p w:rsidR="008F715D" w:rsidRDefault="008F715D" w:rsidP="008F715D">
      <w:pPr>
        <w:jc w:val="both"/>
      </w:pPr>
    </w:p>
    <w:p w:rsidR="008F715D" w:rsidRDefault="008F715D" w:rsidP="008F715D">
      <w:pPr>
        <w:spacing w:after="240" w:line="276" w:lineRule="auto"/>
        <w:jc w:val="both"/>
        <w:rPr>
          <w:highlight w:val="yellow"/>
        </w:rPr>
      </w:pPr>
      <w:bookmarkStart w:id="331" w:name="_Toc446528861"/>
      <w:r>
        <w:t>Budgétisées à 1 401,2 milliards de FCFA dans la loi de finances initiale 2016, les dépenses de fonctionnement ont été exécutées à hauteur de 575,6 milliards de FCFA au premier semestre, soit un taux d’exécution de 41,1%. Comparativement au premier semestre de 2015, elles ont augmenté de 2,6% du fait du renforcement des dépenses en biens et services, en dépit du repli des transferts et subventions et de la quasi-stabilité des dépenses de personnel.</w:t>
      </w:r>
    </w:p>
    <w:p w:rsidR="008F715D" w:rsidRDefault="008F715D" w:rsidP="008F715D">
      <w:pPr>
        <w:spacing w:before="240" w:after="240" w:line="276" w:lineRule="auto"/>
        <w:jc w:val="both"/>
      </w:pPr>
      <w:r>
        <w:lastRenderedPageBreak/>
        <w:t>Les dépenses de personnel (la solde permanente, la main d’œuvre non permanente et les crédits dédiés au paiement de la PIP) ont été exécutées à hauteur de 332,0 milliards de FCFA au premier semestre 2016, soit un taux de réalisation de 45,3% de la dotation de la loi de finances initiale. Comparativement à fin juin 2015, elles ont baissé de 0,8% suite au non-paiement de la Prime d’Incitation à la Performance (PIP).</w:t>
      </w:r>
    </w:p>
    <w:p w:rsidR="008F715D" w:rsidRDefault="008F715D" w:rsidP="008F715D">
      <w:pPr>
        <w:spacing w:before="240" w:after="240" w:line="276" w:lineRule="auto"/>
        <w:jc w:val="both"/>
      </w:pPr>
      <w:r>
        <w:t>Sur une dotation de 319,7 milliards de FCFA dans la loi de finances initiale 2016, les dépenses sur les biens et services se sont établies à 116,4 milliards de FCFA au premier semestre 2016, soit un taux d’exécution de 36,4%. Elles se sont renforcées de 56,2% comparativement à fin juin 2015. Cette évolution résulte exclusivement de l’accroissement des dépenses liées aux autres biens et services (+75,0%).</w:t>
      </w:r>
    </w:p>
    <w:p w:rsidR="008F715D" w:rsidRDefault="008F715D" w:rsidP="008F715D">
      <w:pPr>
        <w:spacing w:before="240" w:after="240" w:line="276" w:lineRule="auto"/>
        <w:jc w:val="both"/>
      </w:pPr>
      <w:r>
        <w:t>Les dépenses de transferts et interventions ont été exécutées à hauteur de 127,2 milliards de FCFA, soit 36,4% des prévisions de la loi de finances initiale 2016. Elles ont enregistré une diminution de 16,2% suite essentiellement à la baisse des transferts à SOGARA (-84,5%) malgré l’accroissement des autres transferts et interventions (+14,8%).</w:t>
      </w:r>
    </w:p>
    <w:p w:rsidR="008F715D" w:rsidRDefault="008F715D" w:rsidP="008F715D">
      <w:pPr>
        <w:pStyle w:val="Titre3"/>
        <w:ind w:firstLine="0"/>
        <w:rPr>
          <w:b/>
          <w:bCs/>
          <w:i/>
          <w:iCs/>
          <w:color w:val="0000FF"/>
          <w:sz w:val="24"/>
        </w:rPr>
      </w:pPr>
      <w:bookmarkStart w:id="332" w:name="_Toc447721774"/>
      <w:bookmarkStart w:id="333" w:name="_Toc462990894"/>
      <w:r>
        <w:rPr>
          <w:b/>
          <w:bCs/>
          <w:i/>
          <w:iCs/>
          <w:color w:val="0000FF"/>
          <w:sz w:val="24"/>
        </w:rPr>
        <w:t>III.6.3.2 Les dépenses d’investissement</w:t>
      </w:r>
      <w:bookmarkEnd w:id="331"/>
      <w:bookmarkEnd w:id="332"/>
      <w:bookmarkEnd w:id="333"/>
      <w:r>
        <w:rPr>
          <w:b/>
          <w:bCs/>
          <w:i/>
          <w:iCs/>
          <w:color w:val="0000FF"/>
          <w:sz w:val="24"/>
        </w:rPr>
        <w:t xml:space="preserve"> </w:t>
      </w:r>
    </w:p>
    <w:p w:rsidR="008F715D" w:rsidRDefault="008F715D" w:rsidP="008F715D">
      <w:pPr>
        <w:spacing w:before="240" w:after="240" w:line="276" w:lineRule="auto"/>
        <w:jc w:val="both"/>
      </w:pPr>
      <w:r>
        <w:t>Du fait du recul de la mobilisation des financements sur ressources propres (-39,9%), les dépenses d’investissement exécutées ont enregistré une diminution de 13,7% au terme des six premiers mois de l’année 2016 pour s’établir à 169,8 milliards de FCFA. Elles inscrivent ainsi un taux d’exécution de 30,2% par rapport au plafond autorisé par le parlement dans la loi de finances initiale 2016.</w:t>
      </w:r>
    </w:p>
    <w:p w:rsidR="008F715D" w:rsidRDefault="008F715D" w:rsidP="008F715D">
      <w:pPr>
        <w:pStyle w:val="Titre3"/>
        <w:ind w:firstLine="0"/>
        <w:rPr>
          <w:b/>
          <w:bCs/>
          <w:i/>
          <w:iCs/>
          <w:color w:val="0000FF"/>
          <w:sz w:val="24"/>
        </w:rPr>
      </w:pPr>
      <w:bookmarkStart w:id="334" w:name="_Toc447721775"/>
      <w:bookmarkStart w:id="335" w:name="_Toc446528862"/>
      <w:bookmarkStart w:id="336" w:name="_Toc462990895"/>
      <w:r>
        <w:rPr>
          <w:b/>
          <w:bCs/>
          <w:i/>
          <w:iCs/>
          <w:color w:val="0000FF"/>
          <w:sz w:val="24"/>
        </w:rPr>
        <w:t>III.6.3.3 Les autres dépenses</w:t>
      </w:r>
      <w:bookmarkEnd w:id="334"/>
      <w:bookmarkEnd w:id="335"/>
      <w:bookmarkEnd w:id="336"/>
      <w:r>
        <w:rPr>
          <w:b/>
          <w:bCs/>
          <w:i/>
          <w:iCs/>
          <w:color w:val="0000FF"/>
          <w:sz w:val="24"/>
        </w:rPr>
        <w:t xml:space="preserve"> </w:t>
      </w:r>
    </w:p>
    <w:p w:rsidR="008F715D" w:rsidRDefault="008F715D" w:rsidP="008F715D">
      <w:pPr>
        <w:spacing w:before="240" w:after="240" w:line="276" w:lineRule="auto"/>
        <w:jc w:val="both"/>
      </w:pPr>
      <w:r>
        <w:t>Les autres dépenses ont été exécutées à hauteur de 41,5 milliards de FCFA sur une prévision de 8,0 milliards de FCFA, soit un excédent de 33,5 milliards de la dotation annuelle. Elles ont fortement augmenté par rapport à leur niveau à fin juin 2015 suite particulièrement à l’amélioration des dépenses du FER (+147,1%).</w:t>
      </w:r>
    </w:p>
    <w:p w:rsidR="008F715D" w:rsidRDefault="008F715D" w:rsidP="008F715D">
      <w:pPr>
        <w:autoSpaceDE w:val="0"/>
        <w:autoSpaceDN w:val="0"/>
        <w:adjustRightInd w:val="0"/>
        <w:spacing w:line="276" w:lineRule="auto"/>
        <w:rPr>
          <w:b/>
          <w:bCs/>
          <w:i/>
          <w:sz w:val="22"/>
          <w:szCs w:val="22"/>
        </w:rPr>
      </w:pPr>
      <w:r>
        <w:rPr>
          <w:b/>
          <w:bCs/>
          <w:i/>
          <w:sz w:val="22"/>
          <w:szCs w:val="22"/>
        </w:rPr>
        <w:t>Evolution des dépenses budgétaires</w:t>
      </w:r>
    </w:p>
    <w:tbl>
      <w:tblPr>
        <w:tblW w:w="9087" w:type="dxa"/>
        <w:tblInd w:w="55" w:type="dxa"/>
        <w:tblCellMar>
          <w:left w:w="70" w:type="dxa"/>
          <w:right w:w="70" w:type="dxa"/>
        </w:tblCellMar>
        <w:tblLook w:val="04A0"/>
      </w:tblPr>
      <w:tblGrid>
        <w:gridCol w:w="3843"/>
        <w:gridCol w:w="1701"/>
        <w:gridCol w:w="1842"/>
        <w:gridCol w:w="1701"/>
      </w:tblGrid>
      <w:tr w:rsidR="008F715D" w:rsidTr="002105A0">
        <w:trPr>
          <w:trHeight w:val="285"/>
        </w:trPr>
        <w:tc>
          <w:tcPr>
            <w:tcW w:w="3843" w:type="dxa"/>
            <w:vMerge w:val="restart"/>
            <w:tcBorders>
              <w:top w:val="single" w:sz="12" w:space="0" w:color="0070C0"/>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En milliards de FCFA</w:t>
            </w:r>
          </w:p>
        </w:tc>
        <w:tc>
          <w:tcPr>
            <w:tcW w:w="5244" w:type="dxa"/>
            <w:gridSpan w:val="3"/>
            <w:tcBorders>
              <w:top w:val="single" w:sz="12" w:space="0" w:color="0070C0"/>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Premier Semestre</w:t>
            </w:r>
          </w:p>
        </w:tc>
      </w:tr>
      <w:tr w:rsidR="008F715D" w:rsidTr="002105A0">
        <w:trPr>
          <w:trHeight w:val="285"/>
        </w:trPr>
        <w:tc>
          <w:tcPr>
            <w:tcW w:w="0" w:type="auto"/>
            <w:vMerge/>
            <w:tcBorders>
              <w:top w:val="single" w:sz="12" w:space="0" w:color="0070C0"/>
              <w:left w:val="single" w:sz="12" w:space="0" w:color="0070C0"/>
              <w:bottom w:val="single" w:sz="12" w:space="0" w:color="0070C0"/>
              <w:right w:val="single" w:sz="12" w:space="0" w:color="0070C0"/>
            </w:tcBorders>
            <w:vAlign w:val="center"/>
            <w:hideMark/>
          </w:tcPr>
          <w:p w:rsidR="008F715D" w:rsidRDefault="008F715D" w:rsidP="002105A0">
            <w:pPr>
              <w:rPr>
                <w:b/>
                <w:bCs/>
                <w:sz w:val="20"/>
                <w:szCs w:val="20"/>
              </w:rPr>
            </w:pP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2015</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2016</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Variations</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Fonctionnement</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560,8</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575,6</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2,6%</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Salaires et traitements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334,6</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332,0</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-0,8%</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Biens et services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74,5</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116,4</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56,2%</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Transferts et subventions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151,7</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127,2</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-16,2%</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Investissements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196,7</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169,8</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-13,7%</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Ressources propres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154,2</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92,6</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-39,9%</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Finex</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42,4</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77,2</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82,1%</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Autres dépenses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3,9</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41,5</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Total dépenses primaires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761,4</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786,9</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3,3%</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sz w:val="20"/>
                <w:szCs w:val="20"/>
              </w:rPr>
            </w:pPr>
            <w:r>
              <w:rPr>
                <w:sz w:val="20"/>
                <w:szCs w:val="20"/>
              </w:rPr>
              <w:t>Intérêts sur la dette</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73,1</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96,7</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sz w:val="20"/>
                <w:szCs w:val="20"/>
              </w:rPr>
            </w:pPr>
            <w:r>
              <w:rPr>
                <w:sz w:val="20"/>
                <w:szCs w:val="20"/>
              </w:rPr>
              <w:t>32,3%</w:t>
            </w:r>
          </w:p>
        </w:tc>
      </w:tr>
      <w:tr w:rsidR="008F715D" w:rsidTr="002105A0">
        <w:trPr>
          <w:trHeight w:val="285"/>
        </w:trPr>
        <w:tc>
          <w:tcPr>
            <w:tcW w:w="3843" w:type="dxa"/>
            <w:tcBorders>
              <w:top w:val="nil"/>
              <w:left w:val="single" w:sz="12" w:space="0" w:color="0070C0"/>
              <w:bottom w:val="single" w:sz="12" w:space="0" w:color="0070C0"/>
              <w:right w:val="single" w:sz="12" w:space="0" w:color="0070C0"/>
            </w:tcBorders>
            <w:noWrap/>
            <w:vAlign w:val="bottom"/>
            <w:hideMark/>
          </w:tcPr>
          <w:p w:rsidR="008F715D" w:rsidRDefault="008F715D" w:rsidP="002105A0">
            <w:pPr>
              <w:rPr>
                <w:b/>
                <w:bCs/>
                <w:sz w:val="20"/>
                <w:szCs w:val="20"/>
              </w:rPr>
            </w:pPr>
            <w:r>
              <w:rPr>
                <w:b/>
                <w:bCs/>
                <w:sz w:val="20"/>
                <w:szCs w:val="20"/>
              </w:rPr>
              <w:t>Total dépenses</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834,5</w:t>
            </w:r>
          </w:p>
        </w:tc>
        <w:tc>
          <w:tcPr>
            <w:tcW w:w="1842"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883,6</w:t>
            </w:r>
          </w:p>
        </w:tc>
        <w:tc>
          <w:tcPr>
            <w:tcW w:w="1701" w:type="dxa"/>
            <w:tcBorders>
              <w:top w:val="nil"/>
              <w:left w:val="nil"/>
              <w:bottom w:val="single" w:sz="12" w:space="0" w:color="0070C0"/>
              <w:right w:val="single" w:sz="12" w:space="0" w:color="0070C0"/>
            </w:tcBorders>
            <w:noWrap/>
            <w:vAlign w:val="bottom"/>
            <w:hideMark/>
          </w:tcPr>
          <w:p w:rsidR="008F715D" w:rsidRDefault="008F715D" w:rsidP="002105A0">
            <w:pPr>
              <w:jc w:val="center"/>
              <w:rPr>
                <w:b/>
                <w:bCs/>
                <w:sz w:val="20"/>
                <w:szCs w:val="20"/>
              </w:rPr>
            </w:pPr>
            <w:r>
              <w:rPr>
                <w:b/>
                <w:bCs/>
                <w:sz w:val="20"/>
                <w:szCs w:val="20"/>
              </w:rPr>
              <w:t>5,9%</w:t>
            </w:r>
          </w:p>
        </w:tc>
      </w:tr>
    </w:tbl>
    <w:p w:rsidR="008F715D" w:rsidRPr="00C56AA0" w:rsidRDefault="008F715D" w:rsidP="008F715D">
      <w:pPr>
        <w:spacing w:afterLines="40"/>
        <w:jc w:val="both"/>
        <w:rPr>
          <w:i/>
          <w:sz w:val="20"/>
          <w:szCs w:val="20"/>
        </w:rPr>
      </w:pPr>
      <w:r w:rsidRPr="00C56AA0">
        <w:rPr>
          <w:i/>
          <w:sz w:val="20"/>
          <w:szCs w:val="20"/>
        </w:rPr>
        <w:lastRenderedPageBreak/>
        <w:t>Source : DGCPT</w:t>
      </w:r>
    </w:p>
    <w:p w:rsidR="008F715D" w:rsidRDefault="008F715D" w:rsidP="008F715D"/>
    <w:p w:rsidR="008F715D" w:rsidRDefault="008F715D" w:rsidP="008F715D">
      <w:pPr>
        <w:spacing w:after="200" w:line="276" w:lineRule="auto"/>
      </w:pPr>
      <w:r>
        <w:br w:type="page"/>
      </w:r>
    </w:p>
    <w:p w:rsidR="008F715D" w:rsidRDefault="008F715D" w:rsidP="008F715D"/>
    <w:p w:rsidR="008F715D" w:rsidRPr="00A52E27" w:rsidRDefault="008F715D" w:rsidP="008F715D">
      <w:pPr>
        <w:pStyle w:val="Titre1"/>
        <w:keepLines/>
        <w:pBdr>
          <w:top w:val="single" w:sz="4" w:space="1" w:color="31849B"/>
          <w:bottom w:val="double" w:sz="4" w:space="1" w:color="auto"/>
        </w:pBdr>
        <w:shd w:val="clear" w:color="auto" w:fill="DAEEF3"/>
        <w:spacing w:line="276" w:lineRule="auto"/>
        <w:rPr>
          <w:color w:val="0000FF"/>
          <w:szCs w:val="28"/>
        </w:rPr>
      </w:pPr>
      <w:bookmarkStart w:id="337" w:name="_Toc438477924"/>
      <w:bookmarkStart w:id="338" w:name="_Toc462990896"/>
      <w:r w:rsidRPr="00A52E27">
        <w:rPr>
          <w:color w:val="0000FF"/>
          <w:szCs w:val="28"/>
        </w:rPr>
        <w:t>CONCLUSION</w:t>
      </w:r>
      <w:bookmarkEnd w:id="337"/>
      <w:bookmarkEnd w:id="338"/>
    </w:p>
    <w:p w:rsidR="008F715D" w:rsidRPr="004F0BB1" w:rsidRDefault="008F715D" w:rsidP="008F715D">
      <w:pPr>
        <w:spacing w:after="240"/>
      </w:pPr>
    </w:p>
    <w:p w:rsidR="008F715D" w:rsidRPr="004F0BB1" w:rsidRDefault="008F715D" w:rsidP="008F715D">
      <w:pPr>
        <w:spacing w:after="240"/>
        <w:jc w:val="both"/>
      </w:pPr>
      <w:r w:rsidRPr="004F0BB1">
        <w:t>On note au terme des six premiers mois de l’année 2016, que la reprise économique est demeurée timide avec une demande mondiale qui tarde à s’accélérer, notamment dans les régions comme l’Europe où le Brexit a constitué une nouvelle source d’incertitude. Malgré cette situation, on a noté un relèvement des cours des produits de base par rapport au premier trimestre, notamment en ce qui concerne le pétrole et le manganèse, mais dans des proportions encore insuffisantes par rapport aux baisses enregistrées précédemment.</w:t>
      </w:r>
    </w:p>
    <w:p w:rsidR="008F715D" w:rsidRPr="004F0BB1" w:rsidRDefault="008F715D" w:rsidP="008F715D">
      <w:pPr>
        <w:spacing w:after="240"/>
        <w:jc w:val="both"/>
      </w:pPr>
      <w:r w:rsidRPr="004F0BB1">
        <w:t>Dans ce contexte global, la production des grands secteurs économiques a été en recul au second trimestre, à l’exception du secteur bois et des principales industries. En effet, la production pétrolière a légèrement fléchi (conséquence de l’incident technique enregistré au premier trimestre et du vieillissement des champs) et les opérateurs de manganèse ont volontairement freiné leurs efforts en espérant une remontée des prix plus nette. La production d’or quant à elle a subi les effets des inondations survenues sur les sites d’exploitation.</w:t>
      </w:r>
    </w:p>
    <w:p w:rsidR="008F715D" w:rsidRPr="004F0BB1" w:rsidRDefault="008F715D" w:rsidP="008F715D">
      <w:pPr>
        <w:spacing w:after="240"/>
        <w:jc w:val="both"/>
      </w:pPr>
      <w:r w:rsidRPr="004F0BB1">
        <w:t xml:space="preserve">Néanmoins, il convient de saluer la reprise de la production des principales industries, notamment dans le bois, les boissons gazeuses, les autres industries de transformation (chimie, matériaux de construction, transformation de métaux), accompagnées par une hausse de la production d’électricité. </w:t>
      </w:r>
    </w:p>
    <w:p w:rsidR="008F715D" w:rsidRPr="004F0BB1" w:rsidRDefault="008F715D" w:rsidP="008F715D">
      <w:pPr>
        <w:spacing w:after="240"/>
        <w:jc w:val="both"/>
      </w:pPr>
      <w:r w:rsidRPr="004F0BB1">
        <w:t xml:space="preserve">Dans le tertiaire, le commerce général structuré a enregistré un repli, signe d’une demande globalement en berne, malgré les reprises des ventes des télécommunications, des véhicules industriels et des produits pharmaceutiques. Cette situation a impacté négativement le commerce extérieur qui a enregistré une nouvelle dégradation du solde commerciale. </w:t>
      </w:r>
    </w:p>
    <w:p w:rsidR="008F715D" w:rsidRPr="004F0BB1" w:rsidRDefault="008F715D" w:rsidP="008F715D">
      <w:pPr>
        <w:spacing w:after="240"/>
        <w:jc w:val="both"/>
      </w:pPr>
      <w:r w:rsidRPr="004F0BB1">
        <w:t xml:space="preserve">Sur la base de ces évolutions, les changements intervenus dans les hypothèses de base nous conduisent à revoir à la baisse les prévisions de croissance de l’économie gabonaise pour l’année 2016, qui devrait enregistrer un PIB d’environ </w:t>
      </w:r>
      <w:r>
        <w:t>2,9</w:t>
      </w:r>
      <w:r w:rsidRPr="004F0BB1">
        <w:t>% au lieu des 3,3% comme annoncé au vu de la conjoncture à l’issu du premier trimestre.</w:t>
      </w:r>
    </w:p>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Default="008F715D" w:rsidP="008F715D"/>
    <w:p w:rsidR="008F715D" w:rsidRPr="00A52E27" w:rsidRDefault="008F715D" w:rsidP="008F715D">
      <w:pPr>
        <w:pStyle w:val="Titre1"/>
        <w:keepLines/>
        <w:pBdr>
          <w:top w:val="single" w:sz="4" w:space="1" w:color="31849B"/>
          <w:bottom w:val="double" w:sz="4" w:space="1" w:color="auto"/>
        </w:pBdr>
        <w:shd w:val="clear" w:color="auto" w:fill="DAEEF3"/>
        <w:spacing w:before="480" w:after="240" w:line="276" w:lineRule="auto"/>
        <w:rPr>
          <w:color w:val="0000FF"/>
          <w:szCs w:val="28"/>
        </w:rPr>
      </w:pPr>
      <w:bookmarkStart w:id="339" w:name="_Toc462990897"/>
      <w:r w:rsidRPr="00A52E27">
        <w:rPr>
          <w:color w:val="0000FF"/>
          <w:szCs w:val="28"/>
        </w:rPr>
        <w:t>ANNEXES</w:t>
      </w:r>
      <w:bookmarkEnd w:id="339"/>
    </w:p>
    <w:tbl>
      <w:tblPr>
        <w:tblW w:w="9660" w:type="dxa"/>
        <w:tblInd w:w="60" w:type="dxa"/>
        <w:tblCellMar>
          <w:left w:w="70" w:type="dxa"/>
          <w:right w:w="70" w:type="dxa"/>
        </w:tblCellMar>
        <w:tblLook w:val="04A0"/>
      </w:tblPr>
      <w:tblGrid>
        <w:gridCol w:w="3880"/>
        <w:gridCol w:w="940"/>
        <w:gridCol w:w="960"/>
        <w:gridCol w:w="1040"/>
        <w:gridCol w:w="920"/>
        <w:gridCol w:w="940"/>
        <w:gridCol w:w="980"/>
      </w:tblGrid>
      <w:tr w:rsidR="008F715D" w:rsidRPr="00DF172B" w:rsidTr="002105A0">
        <w:trPr>
          <w:trHeight w:val="315"/>
        </w:trPr>
        <w:tc>
          <w:tcPr>
            <w:tcW w:w="38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F715D" w:rsidRPr="009A1045" w:rsidRDefault="008F715D" w:rsidP="002105A0">
            <w:pPr>
              <w:rPr>
                <w:b/>
                <w:bCs/>
                <w:color w:val="000000"/>
                <w:sz w:val="20"/>
                <w:szCs w:val="20"/>
              </w:rPr>
            </w:pPr>
            <w:r w:rsidRPr="009A1045">
              <w:rPr>
                <w:b/>
                <w:bCs/>
                <w:color w:val="000000"/>
                <w:sz w:val="20"/>
                <w:szCs w:val="20"/>
              </w:rPr>
              <w:t>Trimestre</w:t>
            </w:r>
          </w:p>
        </w:tc>
        <w:tc>
          <w:tcPr>
            <w:tcW w:w="940" w:type="dxa"/>
            <w:tcBorders>
              <w:top w:val="single" w:sz="8" w:space="0" w:color="auto"/>
              <w:left w:val="single" w:sz="8" w:space="0" w:color="auto"/>
              <w:bottom w:val="single" w:sz="8" w:space="0" w:color="auto"/>
              <w:right w:val="nil"/>
            </w:tcBorders>
            <w:shd w:val="clear" w:color="auto" w:fill="auto"/>
            <w:noWrap/>
            <w:vAlign w:val="center"/>
            <w:hideMark/>
          </w:tcPr>
          <w:p w:rsidR="008F715D" w:rsidRPr="009A1045" w:rsidRDefault="008F715D" w:rsidP="002105A0">
            <w:pPr>
              <w:jc w:val="center"/>
              <w:rPr>
                <w:b/>
                <w:bCs/>
                <w:color w:val="000000"/>
                <w:sz w:val="20"/>
                <w:szCs w:val="20"/>
              </w:rPr>
            </w:pPr>
            <w:r w:rsidRPr="009A1045">
              <w:rPr>
                <w:b/>
                <w:bCs/>
                <w:color w:val="000000"/>
                <w:sz w:val="20"/>
                <w:szCs w:val="20"/>
              </w:rPr>
              <w:t>avr-15</w:t>
            </w:r>
          </w:p>
        </w:tc>
        <w:tc>
          <w:tcPr>
            <w:tcW w:w="960" w:type="dxa"/>
            <w:tcBorders>
              <w:top w:val="single" w:sz="8" w:space="0" w:color="auto"/>
              <w:left w:val="nil"/>
              <w:bottom w:val="single" w:sz="8" w:space="0" w:color="auto"/>
              <w:right w:val="nil"/>
            </w:tcBorders>
            <w:shd w:val="clear" w:color="auto" w:fill="auto"/>
            <w:noWrap/>
            <w:vAlign w:val="center"/>
            <w:hideMark/>
          </w:tcPr>
          <w:p w:rsidR="008F715D" w:rsidRPr="009A1045" w:rsidRDefault="008F715D" w:rsidP="002105A0">
            <w:pPr>
              <w:jc w:val="center"/>
              <w:rPr>
                <w:b/>
                <w:bCs/>
                <w:color w:val="000000"/>
                <w:sz w:val="20"/>
                <w:szCs w:val="20"/>
              </w:rPr>
            </w:pPr>
            <w:r w:rsidRPr="009A1045">
              <w:rPr>
                <w:b/>
                <w:bCs/>
                <w:color w:val="000000"/>
                <w:sz w:val="20"/>
                <w:szCs w:val="20"/>
              </w:rPr>
              <w:t>mai-15</w:t>
            </w:r>
          </w:p>
        </w:tc>
        <w:tc>
          <w:tcPr>
            <w:tcW w:w="1040" w:type="dxa"/>
            <w:tcBorders>
              <w:top w:val="single" w:sz="8" w:space="0" w:color="auto"/>
              <w:left w:val="nil"/>
              <w:bottom w:val="single" w:sz="8" w:space="0" w:color="auto"/>
              <w:right w:val="nil"/>
            </w:tcBorders>
            <w:shd w:val="clear" w:color="auto" w:fill="auto"/>
            <w:noWrap/>
            <w:vAlign w:val="center"/>
            <w:hideMark/>
          </w:tcPr>
          <w:p w:rsidR="008F715D" w:rsidRPr="009A1045" w:rsidRDefault="008F715D" w:rsidP="002105A0">
            <w:pPr>
              <w:jc w:val="center"/>
              <w:rPr>
                <w:b/>
                <w:bCs/>
                <w:color w:val="000000"/>
                <w:sz w:val="20"/>
                <w:szCs w:val="20"/>
              </w:rPr>
            </w:pPr>
            <w:r w:rsidRPr="009A1045">
              <w:rPr>
                <w:b/>
                <w:bCs/>
                <w:color w:val="000000"/>
                <w:sz w:val="20"/>
                <w:szCs w:val="20"/>
              </w:rPr>
              <w:t>juin-15</w:t>
            </w:r>
          </w:p>
        </w:tc>
        <w:tc>
          <w:tcPr>
            <w:tcW w:w="920" w:type="dxa"/>
            <w:tcBorders>
              <w:top w:val="single" w:sz="8" w:space="0" w:color="auto"/>
              <w:left w:val="nil"/>
              <w:bottom w:val="single" w:sz="8" w:space="0" w:color="auto"/>
              <w:right w:val="nil"/>
            </w:tcBorders>
            <w:shd w:val="clear" w:color="auto" w:fill="auto"/>
            <w:noWrap/>
            <w:vAlign w:val="center"/>
            <w:hideMark/>
          </w:tcPr>
          <w:p w:rsidR="008F715D" w:rsidRPr="009A1045" w:rsidRDefault="008F715D" w:rsidP="002105A0">
            <w:pPr>
              <w:jc w:val="center"/>
              <w:rPr>
                <w:b/>
                <w:bCs/>
                <w:color w:val="000000"/>
                <w:sz w:val="20"/>
                <w:szCs w:val="20"/>
              </w:rPr>
            </w:pPr>
            <w:r w:rsidRPr="009A1045">
              <w:rPr>
                <w:b/>
                <w:bCs/>
                <w:color w:val="000000"/>
                <w:sz w:val="20"/>
                <w:szCs w:val="20"/>
              </w:rPr>
              <w:t>avr-16</w:t>
            </w:r>
          </w:p>
        </w:tc>
        <w:tc>
          <w:tcPr>
            <w:tcW w:w="940" w:type="dxa"/>
            <w:tcBorders>
              <w:top w:val="single" w:sz="8" w:space="0" w:color="auto"/>
              <w:left w:val="nil"/>
              <w:bottom w:val="single" w:sz="8" w:space="0" w:color="auto"/>
              <w:right w:val="nil"/>
            </w:tcBorders>
            <w:shd w:val="clear" w:color="auto" w:fill="auto"/>
            <w:noWrap/>
            <w:vAlign w:val="center"/>
            <w:hideMark/>
          </w:tcPr>
          <w:p w:rsidR="008F715D" w:rsidRPr="009A1045" w:rsidRDefault="008F715D" w:rsidP="002105A0">
            <w:pPr>
              <w:jc w:val="center"/>
              <w:rPr>
                <w:b/>
                <w:bCs/>
                <w:color w:val="000000"/>
                <w:sz w:val="20"/>
                <w:szCs w:val="20"/>
              </w:rPr>
            </w:pPr>
            <w:r w:rsidRPr="009A1045">
              <w:rPr>
                <w:b/>
                <w:bCs/>
                <w:color w:val="000000"/>
                <w:sz w:val="20"/>
                <w:szCs w:val="20"/>
              </w:rPr>
              <w:t>mai-16</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8F715D" w:rsidRPr="009A1045" w:rsidRDefault="008F715D" w:rsidP="002105A0">
            <w:pPr>
              <w:jc w:val="center"/>
              <w:rPr>
                <w:b/>
                <w:bCs/>
                <w:color w:val="000000"/>
                <w:sz w:val="20"/>
                <w:szCs w:val="20"/>
              </w:rPr>
            </w:pPr>
            <w:r w:rsidRPr="009A1045">
              <w:rPr>
                <w:b/>
                <w:bCs/>
                <w:color w:val="000000"/>
                <w:sz w:val="20"/>
                <w:szCs w:val="20"/>
              </w:rPr>
              <w:t>juin-16</w:t>
            </w:r>
          </w:p>
        </w:tc>
      </w:tr>
      <w:tr w:rsidR="008F715D" w:rsidRPr="00DF172B" w:rsidTr="002105A0">
        <w:trPr>
          <w:trHeight w:val="315"/>
        </w:trPr>
        <w:tc>
          <w:tcPr>
            <w:tcW w:w="3880" w:type="dxa"/>
            <w:tcBorders>
              <w:top w:val="nil"/>
              <w:left w:val="single" w:sz="8" w:space="0" w:color="auto"/>
              <w:bottom w:val="single" w:sz="8" w:space="0" w:color="auto"/>
              <w:right w:val="single" w:sz="8" w:space="0" w:color="auto"/>
            </w:tcBorders>
            <w:shd w:val="clear" w:color="000000" w:fill="DBE5F1"/>
            <w:noWrap/>
            <w:vAlign w:val="bottom"/>
            <w:hideMark/>
          </w:tcPr>
          <w:p w:rsidR="008F715D" w:rsidRPr="009A1045" w:rsidRDefault="008F715D" w:rsidP="002105A0">
            <w:pPr>
              <w:rPr>
                <w:b/>
                <w:bCs/>
                <w:color w:val="000000"/>
                <w:sz w:val="20"/>
                <w:szCs w:val="20"/>
              </w:rPr>
            </w:pPr>
            <w:r w:rsidRPr="009A1045">
              <w:rPr>
                <w:b/>
                <w:bCs/>
                <w:color w:val="000000"/>
                <w:sz w:val="20"/>
                <w:szCs w:val="20"/>
              </w:rPr>
              <w:t> </w:t>
            </w:r>
          </w:p>
        </w:tc>
        <w:tc>
          <w:tcPr>
            <w:tcW w:w="5780" w:type="dxa"/>
            <w:gridSpan w:val="6"/>
            <w:tcBorders>
              <w:top w:val="nil"/>
              <w:left w:val="nil"/>
              <w:bottom w:val="single" w:sz="8" w:space="0" w:color="auto"/>
              <w:right w:val="single" w:sz="8" w:space="0" w:color="000000"/>
            </w:tcBorders>
            <w:shd w:val="clear" w:color="000000" w:fill="DBE5F1"/>
            <w:noWrap/>
            <w:vAlign w:val="center"/>
            <w:hideMark/>
          </w:tcPr>
          <w:p w:rsidR="008F715D" w:rsidRPr="009A1045" w:rsidRDefault="008F715D" w:rsidP="002105A0">
            <w:pPr>
              <w:jc w:val="center"/>
              <w:rPr>
                <w:b/>
                <w:bCs/>
                <w:i/>
                <w:iCs/>
                <w:color w:val="000000"/>
                <w:sz w:val="18"/>
                <w:szCs w:val="18"/>
              </w:rPr>
            </w:pPr>
            <w:r w:rsidRPr="009A1045">
              <w:rPr>
                <w:b/>
                <w:bCs/>
                <w:i/>
                <w:iCs/>
                <w:color w:val="000000"/>
                <w:sz w:val="18"/>
                <w:szCs w:val="18"/>
              </w:rPr>
              <w:t>(en milliards de F CFA)</w:t>
            </w:r>
          </w:p>
        </w:tc>
      </w:tr>
      <w:tr w:rsidR="008F715D" w:rsidRPr="00DF172B" w:rsidTr="002105A0">
        <w:trPr>
          <w:trHeight w:val="300"/>
        </w:trPr>
        <w:tc>
          <w:tcPr>
            <w:tcW w:w="3880" w:type="dxa"/>
            <w:tcBorders>
              <w:top w:val="nil"/>
              <w:left w:val="single" w:sz="8" w:space="0" w:color="auto"/>
              <w:bottom w:val="nil"/>
              <w:right w:val="nil"/>
            </w:tcBorders>
            <w:shd w:val="clear" w:color="000000" w:fill="FFFFFF"/>
            <w:noWrap/>
            <w:vAlign w:val="bottom"/>
            <w:hideMark/>
          </w:tcPr>
          <w:p w:rsidR="008F715D" w:rsidRPr="009A1045" w:rsidRDefault="008F715D" w:rsidP="002105A0">
            <w:pPr>
              <w:rPr>
                <w:b/>
                <w:bCs/>
                <w:sz w:val="20"/>
                <w:szCs w:val="20"/>
              </w:rPr>
            </w:pPr>
            <w:r w:rsidRPr="009A1045">
              <w:rPr>
                <w:b/>
                <w:bCs/>
                <w:sz w:val="20"/>
                <w:szCs w:val="20"/>
              </w:rPr>
              <w:t>Avoirs extérieurs nets</w:t>
            </w:r>
          </w:p>
        </w:tc>
        <w:tc>
          <w:tcPr>
            <w:tcW w:w="940" w:type="dxa"/>
            <w:tcBorders>
              <w:top w:val="nil"/>
              <w:left w:val="single" w:sz="8" w:space="0" w:color="auto"/>
              <w:bottom w:val="nil"/>
              <w:right w:val="nil"/>
            </w:tcBorders>
            <w:shd w:val="clear" w:color="auto" w:fill="auto"/>
            <w:noWrap/>
            <w:vAlign w:val="bottom"/>
            <w:hideMark/>
          </w:tcPr>
          <w:p w:rsidR="008F715D" w:rsidRPr="009A1045" w:rsidRDefault="008F715D" w:rsidP="002105A0">
            <w:pPr>
              <w:jc w:val="center"/>
              <w:rPr>
                <w:b/>
                <w:bCs/>
                <w:color w:val="000000"/>
                <w:sz w:val="18"/>
                <w:szCs w:val="18"/>
              </w:rPr>
            </w:pPr>
            <w:r w:rsidRPr="009A1045">
              <w:rPr>
                <w:b/>
                <w:bCs/>
                <w:color w:val="000000"/>
                <w:sz w:val="18"/>
                <w:szCs w:val="18"/>
              </w:rPr>
              <w:t>1216,5</w:t>
            </w:r>
          </w:p>
        </w:tc>
        <w:tc>
          <w:tcPr>
            <w:tcW w:w="960" w:type="dxa"/>
            <w:tcBorders>
              <w:top w:val="nil"/>
              <w:left w:val="nil"/>
              <w:bottom w:val="nil"/>
              <w:right w:val="nil"/>
            </w:tcBorders>
            <w:shd w:val="clear" w:color="auto" w:fill="auto"/>
            <w:noWrap/>
            <w:vAlign w:val="bottom"/>
            <w:hideMark/>
          </w:tcPr>
          <w:p w:rsidR="008F715D" w:rsidRPr="009A1045" w:rsidRDefault="008F715D" w:rsidP="002105A0">
            <w:pPr>
              <w:jc w:val="center"/>
              <w:rPr>
                <w:b/>
                <w:bCs/>
                <w:color w:val="000000"/>
                <w:sz w:val="18"/>
                <w:szCs w:val="18"/>
              </w:rPr>
            </w:pPr>
            <w:r w:rsidRPr="009A1045">
              <w:rPr>
                <w:b/>
                <w:bCs/>
                <w:color w:val="000000"/>
                <w:sz w:val="18"/>
                <w:szCs w:val="18"/>
              </w:rPr>
              <w:t>1159,0</w:t>
            </w:r>
          </w:p>
        </w:tc>
        <w:tc>
          <w:tcPr>
            <w:tcW w:w="1040" w:type="dxa"/>
            <w:tcBorders>
              <w:top w:val="nil"/>
              <w:left w:val="nil"/>
              <w:bottom w:val="nil"/>
              <w:right w:val="nil"/>
            </w:tcBorders>
            <w:shd w:val="clear" w:color="auto" w:fill="auto"/>
            <w:noWrap/>
            <w:vAlign w:val="bottom"/>
            <w:hideMark/>
          </w:tcPr>
          <w:p w:rsidR="008F715D" w:rsidRPr="009A1045" w:rsidRDefault="008F715D" w:rsidP="002105A0">
            <w:pPr>
              <w:jc w:val="center"/>
              <w:rPr>
                <w:b/>
                <w:bCs/>
                <w:color w:val="000000"/>
                <w:sz w:val="18"/>
                <w:szCs w:val="18"/>
              </w:rPr>
            </w:pPr>
            <w:r w:rsidRPr="009A1045">
              <w:rPr>
                <w:b/>
                <w:bCs/>
                <w:color w:val="000000"/>
                <w:sz w:val="18"/>
                <w:szCs w:val="18"/>
              </w:rPr>
              <w:t>1425,4</w:t>
            </w:r>
          </w:p>
        </w:tc>
        <w:tc>
          <w:tcPr>
            <w:tcW w:w="920" w:type="dxa"/>
            <w:tcBorders>
              <w:top w:val="nil"/>
              <w:left w:val="nil"/>
              <w:bottom w:val="nil"/>
              <w:right w:val="nil"/>
            </w:tcBorders>
            <w:shd w:val="clear" w:color="auto" w:fill="auto"/>
            <w:noWrap/>
            <w:vAlign w:val="bottom"/>
            <w:hideMark/>
          </w:tcPr>
          <w:p w:rsidR="008F715D" w:rsidRPr="009A1045" w:rsidRDefault="008F715D" w:rsidP="002105A0">
            <w:pPr>
              <w:jc w:val="center"/>
              <w:rPr>
                <w:b/>
                <w:bCs/>
                <w:color w:val="000000"/>
                <w:sz w:val="18"/>
                <w:szCs w:val="18"/>
              </w:rPr>
            </w:pPr>
            <w:r w:rsidRPr="009A1045">
              <w:rPr>
                <w:b/>
                <w:bCs/>
                <w:color w:val="000000"/>
                <w:sz w:val="18"/>
                <w:szCs w:val="18"/>
              </w:rPr>
              <w:t>1028,0</w:t>
            </w:r>
          </w:p>
        </w:tc>
        <w:tc>
          <w:tcPr>
            <w:tcW w:w="940" w:type="dxa"/>
            <w:tcBorders>
              <w:top w:val="nil"/>
              <w:left w:val="nil"/>
              <w:bottom w:val="nil"/>
              <w:right w:val="nil"/>
            </w:tcBorders>
            <w:shd w:val="clear" w:color="auto" w:fill="auto"/>
            <w:noWrap/>
            <w:vAlign w:val="bottom"/>
            <w:hideMark/>
          </w:tcPr>
          <w:p w:rsidR="008F715D" w:rsidRPr="009A1045" w:rsidRDefault="008F715D" w:rsidP="002105A0">
            <w:pPr>
              <w:jc w:val="center"/>
              <w:rPr>
                <w:b/>
                <w:bCs/>
                <w:color w:val="000000"/>
                <w:sz w:val="18"/>
                <w:szCs w:val="18"/>
              </w:rPr>
            </w:pPr>
            <w:r w:rsidRPr="009A1045">
              <w:rPr>
                <w:b/>
                <w:bCs/>
                <w:color w:val="000000"/>
                <w:sz w:val="18"/>
                <w:szCs w:val="18"/>
              </w:rPr>
              <w:t>971,8</w:t>
            </w:r>
          </w:p>
        </w:tc>
        <w:tc>
          <w:tcPr>
            <w:tcW w:w="980" w:type="dxa"/>
            <w:tcBorders>
              <w:top w:val="nil"/>
              <w:left w:val="nil"/>
              <w:bottom w:val="nil"/>
              <w:right w:val="single" w:sz="8" w:space="0" w:color="auto"/>
            </w:tcBorders>
            <w:shd w:val="clear" w:color="auto" w:fill="auto"/>
            <w:noWrap/>
            <w:vAlign w:val="bottom"/>
            <w:hideMark/>
          </w:tcPr>
          <w:p w:rsidR="008F715D" w:rsidRPr="009A1045" w:rsidRDefault="008F715D" w:rsidP="002105A0">
            <w:pPr>
              <w:jc w:val="center"/>
              <w:rPr>
                <w:b/>
                <w:bCs/>
                <w:color w:val="000000"/>
                <w:sz w:val="18"/>
                <w:szCs w:val="18"/>
              </w:rPr>
            </w:pPr>
            <w:r w:rsidRPr="009A1045">
              <w:rPr>
                <w:b/>
                <w:bCs/>
                <w:color w:val="000000"/>
                <w:sz w:val="18"/>
                <w:szCs w:val="18"/>
              </w:rPr>
              <w:t>930,2</w:t>
            </w:r>
          </w:p>
        </w:tc>
      </w:tr>
      <w:tr w:rsidR="008F715D" w:rsidRPr="00DF172B" w:rsidTr="002105A0">
        <w:trPr>
          <w:trHeight w:val="315"/>
        </w:trPr>
        <w:tc>
          <w:tcPr>
            <w:tcW w:w="3880" w:type="dxa"/>
            <w:tcBorders>
              <w:top w:val="nil"/>
              <w:left w:val="single" w:sz="8" w:space="0" w:color="auto"/>
              <w:bottom w:val="nil"/>
              <w:right w:val="nil"/>
            </w:tcBorders>
            <w:shd w:val="clear" w:color="auto" w:fill="auto"/>
            <w:noWrap/>
            <w:vAlign w:val="bottom"/>
            <w:hideMark/>
          </w:tcPr>
          <w:p w:rsidR="008F715D" w:rsidRPr="009A1045" w:rsidRDefault="008F715D" w:rsidP="002105A0">
            <w:pPr>
              <w:rPr>
                <w:sz w:val="20"/>
                <w:szCs w:val="20"/>
              </w:rPr>
            </w:pPr>
            <w:r w:rsidRPr="009A1045">
              <w:rPr>
                <w:sz w:val="20"/>
                <w:szCs w:val="20"/>
              </w:rPr>
              <w:t xml:space="preserve">     Banque centrale</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1060,2</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1016,3</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1287,5</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831,4</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823,9</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794,4</w:t>
            </w:r>
          </w:p>
        </w:tc>
      </w:tr>
      <w:tr w:rsidR="008F715D" w:rsidRPr="00DF172B" w:rsidTr="002105A0">
        <w:trPr>
          <w:trHeight w:val="300"/>
        </w:trPr>
        <w:tc>
          <w:tcPr>
            <w:tcW w:w="3880" w:type="dxa"/>
            <w:tcBorders>
              <w:top w:val="nil"/>
              <w:left w:val="single" w:sz="8" w:space="0" w:color="auto"/>
              <w:bottom w:val="nil"/>
              <w:right w:val="nil"/>
            </w:tcBorders>
            <w:shd w:val="clear" w:color="auto" w:fill="auto"/>
            <w:noWrap/>
            <w:vAlign w:val="bottom"/>
            <w:hideMark/>
          </w:tcPr>
          <w:p w:rsidR="008F715D" w:rsidRPr="009A1045" w:rsidRDefault="008F715D" w:rsidP="002105A0">
            <w:pPr>
              <w:rPr>
                <w:sz w:val="20"/>
                <w:szCs w:val="20"/>
              </w:rPr>
            </w:pPr>
            <w:r w:rsidRPr="009A1045">
              <w:rPr>
                <w:sz w:val="20"/>
                <w:szCs w:val="20"/>
              </w:rPr>
              <w:t xml:space="preserve">     Banques commerciales</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156,3</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142,7</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137,9</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196,6</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147,9</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135,8</w:t>
            </w:r>
          </w:p>
        </w:tc>
      </w:tr>
      <w:tr w:rsidR="008F715D" w:rsidRPr="00DF172B" w:rsidTr="002105A0">
        <w:trPr>
          <w:trHeight w:val="300"/>
        </w:trPr>
        <w:tc>
          <w:tcPr>
            <w:tcW w:w="3880" w:type="dxa"/>
            <w:tcBorders>
              <w:top w:val="nil"/>
              <w:left w:val="single" w:sz="8" w:space="0" w:color="auto"/>
              <w:bottom w:val="nil"/>
              <w:right w:val="nil"/>
            </w:tcBorders>
            <w:shd w:val="clear" w:color="auto" w:fill="auto"/>
            <w:noWrap/>
            <w:vAlign w:val="bottom"/>
            <w:hideMark/>
          </w:tcPr>
          <w:p w:rsidR="008F715D" w:rsidRPr="009A1045" w:rsidRDefault="008F715D" w:rsidP="002105A0">
            <w:pPr>
              <w:rPr>
                <w:b/>
                <w:bCs/>
                <w:sz w:val="20"/>
                <w:szCs w:val="20"/>
              </w:rPr>
            </w:pPr>
            <w:r w:rsidRPr="009A1045">
              <w:rPr>
                <w:b/>
                <w:bCs/>
                <w:sz w:val="20"/>
                <w:szCs w:val="20"/>
              </w:rPr>
              <w:t>Avoirs intérieurs nets</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b/>
                <w:bCs/>
                <w:color w:val="000000"/>
                <w:sz w:val="18"/>
                <w:szCs w:val="18"/>
              </w:rPr>
            </w:pPr>
            <w:r w:rsidRPr="009A1045">
              <w:rPr>
                <w:b/>
                <w:bCs/>
                <w:color w:val="000000"/>
                <w:sz w:val="18"/>
                <w:szCs w:val="18"/>
              </w:rPr>
              <w:t>1004,4</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b/>
                <w:bCs/>
                <w:color w:val="000000"/>
                <w:sz w:val="18"/>
                <w:szCs w:val="18"/>
              </w:rPr>
            </w:pPr>
            <w:r w:rsidRPr="009A1045">
              <w:rPr>
                <w:b/>
                <w:bCs/>
                <w:color w:val="000000"/>
                <w:sz w:val="18"/>
                <w:szCs w:val="18"/>
              </w:rPr>
              <w:t>1058,9</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b/>
                <w:bCs/>
                <w:color w:val="000000"/>
                <w:sz w:val="18"/>
                <w:szCs w:val="18"/>
              </w:rPr>
            </w:pPr>
            <w:r w:rsidRPr="009A1045">
              <w:rPr>
                <w:b/>
                <w:bCs/>
                <w:color w:val="000000"/>
                <w:sz w:val="18"/>
                <w:szCs w:val="18"/>
              </w:rPr>
              <w:t>851,8</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b/>
                <w:bCs/>
                <w:color w:val="000000"/>
                <w:sz w:val="18"/>
                <w:szCs w:val="18"/>
              </w:rPr>
            </w:pPr>
            <w:r w:rsidRPr="009A1045">
              <w:rPr>
                <w:b/>
                <w:bCs/>
                <w:color w:val="000000"/>
                <w:sz w:val="18"/>
                <w:szCs w:val="18"/>
              </w:rPr>
              <w:t>1157,7</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b/>
                <w:bCs/>
                <w:color w:val="000000"/>
                <w:sz w:val="18"/>
                <w:szCs w:val="18"/>
              </w:rPr>
            </w:pPr>
            <w:r w:rsidRPr="009A1045">
              <w:rPr>
                <w:b/>
                <w:bCs/>
                <w:color w:val="000000"/>
                <w:sz w:val="18"/>
                <w:szCs w:val="18"/>
              </w:rPr>
              <w:t>1269,4</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b/>
                <w:bCs/>
                <w:color w:val="000000"/>
                <w:sz w:val="18"/>
                <w:szCs w:val="18"/>
              </w:rPr>
            </w:pPr>
            <w:r w:rsidRPr="009A1045">
              <w:rPr>
                <w:b/>
                <w:bCs/>
                <w:color w:val="000000"/>
                <w:sz w:val="18"/>
                <w:szCs w:val="18"/>
              </w:rPr>
              <w:t>1332,0</w:t>
            </w:r>
          </w:p>
        </w:tc>
      </w:tr>
      <w:tr w:rsidR="008F715D" w:rsidRPr="00DF172B" w:rsidTr="002105A0">
        <w:trPr>
          <w:trHeight w:val="300"/>
        </w:trPr>
        <w:tc>
          <w:tcPr>
            <w:tcW w:w="3880" w:type="dxa"/>
            <w:tcBorders>
              <w:top w:val="nil"/>
              <w:left w:val="single" w:sz="8" w:space="0" w:color="auto"/>
              <w:bottom w:val="nil"/>
              <w:right w:val="nil"/>
            </w:tcBorders>
            <w:shd w:val="clear" w:color="000000" w:fill="FFFFFF"/>
            <w:noWrap/>
            <w:vAlign w:val="bottom"/>
            <w:hideMark/>
          </w:tcPr>
          <w:p w:rsidR="008F715D" w:rsidRPr="009A1045" w:rsidRDefault="008F715D" w:rsidP="002105A0">
            <w:pPr>
              <w:rPr>
                <w:b/>
                <w:bCs/>
                <w:sz w:val="20"/>
                <w:szCs w:val="20"/>
              </w:rPr>
            </w:pPr>
            <w:r w:rsidRPr="009A1045">
              <w:rPr>
                <w:b/>
                <w:bCs/>
                <w:sz w:val="20"/>
                <w:szCs w:val="20"/>
              </w:rPr>
              <w:t>Crédits intérieurs nets</w:t>
            </w:r>
          </w:p>
        </w:tc>
        <w:tc>
          <w:tcPr>
            <w:tcW w:w="940" w:type="dxa"/>
            <w:tcBorders>
              <w:top w:val="nil"/>
              <w:left w:val="single" w:sz="8" w:space="0" w:color="auto"/>
              <w:bottom w:val="nil"/>
              <w:right w:val="nil"/>
            </w:tcBorders>
            <w:shd w:val="clear" w:color="auto" w:fill="auto"/>
            <w:noWrap/>
            <w:vAlign w:val="bottom"/>
            <w:hideMark/>
          </w:tcPr>
          <w:p w:rsidR="008F715D" w:rsidRPr="009A1045" w:rsidRDefault="008F715D" w:rsidP="002105A0">
            <w:pPr>
              <w:jc w:val="center"/>
              <w:rPr>
                <w:b/>
                <w:bCs/>
                <w:color w:val="000000"/>
                <w:sz w:val="18"/>
                <w:szCs w:val="18"/>
              </w:rPr>
            </w:pPr>
            <w:r w:rsidRPr="009A1045">
              <w:rPr>
                <w:b/>
                <w:bCs/>
                <w:color w:val="000000"/>
                <w:sz w:val="18"/>
                <w:szCs w:val="18"/>
              </w:rPr>
              <w:t>1143,7</w:t>
            </w:r>
          </w:p>
        </w:tc>
        <w:tc>
          <w:tcPr>
            <w:tcW w:w="960" w:type="dxa"/>
            <w:tcBorders>
              <w:top w:val="nil"/>
              <w:left w:val="nil"/>
              <w:bottom w:val="nil"/>
              <w:right w:val="nil"/>
            </w:tcBorders>
            <w:shd w:val="clear" w:color="auto" w:fill="auto"/>
            <w:noWrap/>
            <w:vAlign w:val="bottom"/>
            <w:hideMark/>
          </w:tcPr>
          <w:p w:rsidR="008F715D" w:rsidRPr="009A1045" w:rsidRDefault="008F715D" w:rsidP="002105A0">
            <w:pPr>
              <w:jc w:val="center"/>
              <w:rPr>
                <w:b/>
                <w:bCs/>
                <w:color w:val="000000"/>
                <w:sz w:val="18"/>
                <w:szCs w:val="18"/>
              </w:rPr>
            </w:pPr>
            <w:r w:rsidRPr="009A1045">
              <w:rPr>
                <w:b/>
                <w:bCs/>
                <w:color w:val="000000"/>
                <w:sz w:val="18"/>
                <w:szCs w:val="18"/>
              </w:rPr>
              <w:t>1209,6</w:t>
            </w:r>
          </w:p>
        </w:tc>
        <w:tc>
          <w:tcPr>
            <w:tcW w:w="1040" w:type="dxa"/>
            <w:tcBorders>
              <w:top w:val="nil"/>
              <w:left w:val="nil"/>
              <w:bottom w:val="nil"/>
              <w:right w:val="nil"/>
            </w:tcBorders>
            <w:shd w:val="clear" w:color="auto" w:fill="auto"/>
            <w:noWrap/>
            <w:vAlign w:val="bottom"/>
            <w:hideMark/>
          </w:tcPr>
          <w:p w:rsidR="008F715D" w:rsidRPr="009A1045" w:rsidRDefault="008F715D" w:rsidP="002105A0">
            <w:pPr>
              <w:jc w:val="center"/>
              <w:rPr>
                <w:b/>
                <w:bCs/>
                <w:color w:val="000000"/>
                <w:sz w:val="18"/>
                <w:szCs w:val="18"/>
              </w:rPr>
            </w:pPr>
            <w:r w:rsidRPr="009A1045">
              <w:rPr>
                <w:b/>
                <w:bCs/>
                <w:color w:val="000000"/>
                <w:sz w:val="18"/>
                <w:szCs w:val="18"/>
              </w:rPr>
              <w:t>976,4</w:t>
            </w:r>
          </w:p>
        </w:tc>
        <w:tc>
          <w:tcPr>
            <w:tcW w:w="920" w:type="dxa"/>
            <w:tcBorders>
              <w:top w:val="nil"/>
              <w:left w:val="nil"/>
              <w:bottom w:val="nil"/>
              <w:right w:val="nil"/>
            </w:tcBorders>
            <w:shd w:val="clear" w:color="auto" w:fill="auto"/>
            <w:noWrap/>
            <w:vAlign w:val="bottom"/>
            <w:hideMark/>
          </w:tcPr>
          <w:p w:rsidR="008F715D" w:rsidRPr="009A1045" w:rsidRDefault="008F715D" w:rsidP="002105A0">
            <w:pPr>
              <w:jc w:val="center"/>
              <w:rPr>
                <w:b/>
                <w:bCs/>
                <w:color w:val="000000"/>
                <w:sz w:val="18"/>
                <w:szCs w:val="18"/>
              </w:rPr>
            </w:pPr>
            <w:r w:rsidRPr="009A1045">
              <w:rPr>
                <w:b/>
                <w:bCs/>
                <w:color w:val="000000"/>
                <w:sz w:val="18"/>
                <w:szCs w:val="18"/>
              </w:rPr>
              <w:t>1384,6</w:t>
            </w:r>
          </w:p>
        </w:tc>
        <w:tc>
          <w:tcPr>
            <w:tcW w:w="940" w:type="dxa"/>
            <w:tcBorders>
              <w:top w:val="nil"/>
              <w:left w:val="nil"/>
              <w:bottom w:val="nil"/>
              <w:right w:val="nil"/>
            </w:tcBorders>
            <w:shd w:val="clear" w:color="auto" w:fill="auto"/>
            <w:noWrap/>
            <w:vAlign w:val="bottom"/>
            <w:hideMark/>
          </w:tcPr>
          <w:p w:rsidR="008F715D" w:rsidRPr="009A1045" w:rsidRDefault="008F715D" w:rsidP="002105A0">
            <w:pPr>
              <w:jc w:val="center"/>
              <w:rPr>
                <w:b/>
                <w:bCs/>
                <w:color w:val="000000"/>
                <w:sz w:val="18"/>
                <w:szCs w:val="18"/>
              </w:rPr>
            </w:pPr>
            <w:r w:rsidRPr="009A1045">
              <w:rPr>
                <w:b/>
                <w:bCs/>
                <w:color w:val="000000"/>
                <w:sz w:val="18"/>
                <w:szCs w:val="18"/>
              </w:rPr>
              <w:t>1463,3</w:t>
            </w:r>
          </w:p>
        </w:tc>
        <w:tc>
          <w:tcPr>
            <w:tcW w:w="980" w:type="dxa"/>
            <w:tcBorders>
              <w:top w:val="nil"/>
              <w:left w:val="nil"/>
              <w:bottom w:val="nil"/>
              <w:right w:val="single" w:sz="8" w:space="0" w:color="auto"/>
            </w:tcBorders>
            <w:shd w:val="clear" w:color="auto" w:fill="auto"/>
            <w:noWrap/>
            <w:vAlign w:val="bottom"/>
            <w:hideMark/>
          </w:tcPr>
          <w:p w:rsidR="008F715D" w:rsidRPr="009A1045" w:rsidRDefault="008F715D" w:rsidP="002105A0">
            <w:pPr>
              <w:jc w:val="center"/>
              <w:rPr>
                <w:b/>
                <w:bCs/>
                <w:color w:val="000000"/>
                <w:sz w:val="18"/>
                <w:szCs w:val="18"/>
              </w:rPr>
            </w:pPr>
            <w:r w:rsidRPr="009A1045">
              <w:rPr>
                <w:b/>
                <w:bCs/>
                <w:color w:val="000000"/>
                <w:sz w:val="18"/>
                <w:szCs w:val="18"/>
              </w:rPr>
              <w:t>1505,5</w:t>
            </w:r>
          </w:p>
        </w:tc>
      </w:tr>
      <w:tr w:rsidR="008F715D" w:rsidRPr="00DF172B" w:rsidTr="002105A0">
        <w:trPr>
          <w:trHeight w:val="300"/>
        </w:trPr>
        <w:tc>
          <w:tcPr>
            <w:tcW w:w="3880" w:type="dxa"/>
            <w:tcBorders>
              <w:top w:val="nil"/>
              <w:left w:val="single" w:sz="8" w:space="0" w:color="auto"/>
              <w:bottom w:val="nil"/>
              <w:right w:val="nil"/>
            </w:tcBorders>
            <w:shd w:val="clear" w:color="auto" w:fill="auto"/>
            <w:noWrap/>
            <w:vAlign w:val="bottom"/>
            <w:hideMark/>
          </w:tcPr>
          <w:p w:rsidR="008F715D" w:rsidRPr="009A1045" w:rsidRDefault="008F715D" w:rsidP="002105A0">
            <w:pPr>
              <w:rPr>
                <w:sz w:val="20"/>
                <w:szCs w:val="20"/>
              </w:rPr>
            </w:pPr>
            <w:r w:rsidRPr="009A1045">
              <w:rPr>
                <w:sz w:val="20"/>
                <w:szCs w:val="20"/>
              </w:rPr>
              <w:t xml:space="preserve">   Créances nettes sur l'Etat</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-169,8</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-102,2</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-312,7</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color w:val="0D0D0D"/>
                <w:sz w:val="18"/>
                <w:szCs w:val="18"/>
              </w:rPr>
            </w:pPr>
            <w:r w:rsidRPr="009A1045">
              <w:rPr>
                <w:color w:val="0D0D0D"/>
                <w:sz w:val="18"/>
                <w:szCs w:val="18"/>
              </w:rPr>
              <w:t>158,2</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color w:val="0D0D0D"/>
                <w:sz w:val="18"/>
                <w:szCs w:val="18"/>
              </w:rPr>
            </w:pPr>
            <w:r w:rsidRPr="009A1045">
              <w:rPr>
                <w:color w:val="0D0D0D"/>
                <w:sz w:val="18"/>
                <w:szCs w:val="18"/>
              </w:rPr>
              <w:t>251,8</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color w:val="0D0D0D"/>
                <w:sz w:val="18"/>
                <w:szCs w:val="18"/>
              </w:rPr>
            </w:pPr>
            <w:r w:rsidRPr="009A1045">
              <w:rPr>
                <w:color w:val="0D0D0D"/>
                <w:sz w:val="18"/>
                <w:szCs w:val="18"/>
              </w:rPr>
              <w:t>269,1</w:t>
            </w:r>
          </w:p>
        </w:tc>
      </w:tr>
      <w:tr w:rsidR="008F715D" w:rsidRPr="00DF172B" w:rsidTr="002105A0">
        <w:trPr>
          <w:trHeight w:val="300"/>
        </w:trPr>
        <w:tc>
          <w:tcPr>
            <w:tcW w:w="3880" w:type="dxa"/>
            <w:tcBorders>
              <w:top w:val="nil"/>
              <w:left w:val="single" w:sz="8" w:space="0" w:color="auto"/>
              <w:bottom w:val="nil"/>
              <w:right w:val="nil"/>
            </w:tcBorders>
            <w:shd w:val="clear" w:color="auto" w:fill="auto"/>
            <w:noWrap/>
            <w:vAlign w:val="bottom"/>
            <w:hideMark/>
          </w:tcPr>
          <w:p w:rsidR="008F715D" w:rsidRPr="009A1045" w:rsidRDefault="008F715D" w:rsidP="002105A0">
            <w:pPr>
              <w:rPr>
                <w:sz w:val="20"/>
                <w:szCs w:val="20"/>
              </w:rPr>
            </w:pPr>
            <w:r w:rsidRPr="009A1045">
              <w:rPr>
                <w:sz w:val="20"/>
                <w:szCs w:val="20"/>
              </w:rPr>
              <w:t>Position Nette du Gouvernement (PNG)</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-132,2</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-57,1</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-277,2</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color w:val="0D0D0D"/>
                <w:sz w:val="18"/>
                <w:szCs w:val="18"/>
              </w:rPr>
            </w:pPr>
            <w:r w:rsidRPr="009A1045">
              <w:rPr>
                <w:color w:val="0D0D0D"/>
                <w:sz w:val="18"/>
                <w:szCs w:val="18"/>
              </w:rPr>
              <w:t>256,3</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color w:val="0D0D0D"/>
                <w:sz w:val="18"/>
                <w:szCs w:val="18"/>
              </w:rPr>
            </w:pPr>
            <w:r w:rsidRPr="009A1045">
              <w:rPr>
                <w:color w:val="0D0D0D"/>
                <w:sz w:val="18"/>
                <w:szCs w:val="18"/>
              </w:rPr>
              <w:t>363,8</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color w:val="0D0D0D"/>
                <w:sz w:val="18"/>
                <w:szCs w:val="18"/>
              </w:rPr>
            </w:pPr>
            <w:r w:rsidRPr="009A1045">
              <w:rPr>
                <w:color w:val="0D0D0D"/>
                <w:sz w:val="18"/>
                <w:szCs w:val="18"/>
              </w:rPr>
              <w:t>361,7</w:t>
            </w:r>
          </w:p>
        </w:tc>
      </w:tr>
      <w:tr w:rsidR="008F715D" w:rsidRPr="00DF172B" w:rsidTr="002105A0">
        <w:trPr>
          <w:trHeight w:val="300"/>
        </w:trPr>
        <w:tc>
          <w:tcPr>
            <w:tcW w:w="3880" w:type="dxa"/>
            <w:tcBorders>
              <w:top w:val="nil"/>
              <w:left w:val="single" w:sz="8" w:space="0" w:color="auto"/>
              <w:bottom w:val="nil"/>
              <w:right w:val="nil"/>
            </w:tcBorders>
            <w:shd w:val="clear" w:color="auto" w:fill="auto"/>
            <w:noWrap/>
            <w:vAlign w:val="bottom"/>
            <w:hideMark/>
          </w:tcPr>
          <w:p w:rsidR="008F715D" w:rsidRPr="009A1045" w:rsidRDefault="008F715D" w:rsidP="002105A0">
            <w:pPr>
              <w:rPr>
                <w:sz w:val="20"/>
                <w:szCs w:val="20"/>
              </w:rPr>
            </w:pPr>
            <w:r w:rsidRPr="009A1045">
              <w:rPr>
                <w:sz w:val="20"/>
                <w:szCs w:val="20"/>
              </w:rPr>
              <w:t xml:space="preserve">   Créances nettes sur les organismes publics</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-37,6</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-45,1</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-35,5</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-98,1</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-112,0</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-92,6</w:t>
            </w:r>
          </w:p>
        </w:tc>
      </w:tr>
      <w:tr w:rsidR="008F715D" w:rsidRPr="00DF172B" w:rsidTr="002105A0">
        <w:trPr>
          <w:trHeight w:val="300"/>
        </w:trPr>
        <w:tc>
          <w:tcPr>
            <w:tcW w:w="3880" w:type="dxa"/>
            <w:tcBorders>
              <w:top w:val="nil"/>
              <w:left w:val="single" w:sz="8" w:space="0" w:color="auto"/>
              <w:bottom w:val="nil"/>
              <w:right w:val="nil"/>
            </w:tcBorders>
            <w:shd w:val="clear" w:color="auto" w:fill="auto"/>
            <w:noWrap/>
            <w:vAlign w:val="bottom"/>
            <w:hideMark/>
          </w:tcPr>
          <w:p w:rsidR="008F715D" w:rsidRPr="009A1045" w:rsidRDefault="008F715D" w:rsidP="002105A0">
            <w:pPr>
              <w:rPr>
                <w:sz w:val="20"/>
                <w:szCs w:val="20"/>
              </w:rPr>
            </w:pPr>
            <w:r w:rsidRPr="009A1045">
              <w:rPr>
                <w:sz w:val="20"/>
                <w:szCs w:val="20"/>
              </w:rPr>
              <w:t xml:space="preserve">   Créances sur le reste de l'économie</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1313,5</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1311,8</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1289,0</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1226,4</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1211,5</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1236,4</w:t>
            </w:r>
          </w:p>
        </w:tc>
      </w:tr>
      <w:tr w:rsidR="008F715D" w:rsidRPr="00DF172B" w:rsidTr="002105A0">
        <w:trPr>
          <w:trHeight w:val="300"/>
        </w:trPr>
        <w:tc>
          <w:tcPr>
            <w:tcW w:w="3880" w:type="dxa"/>
            <w:tcBorders>
              <w:top w:val="nil"/>
              <w:left w:val="single" w:sz="8" w:space="0" w:color="auto"/>
              <w:bottom w:val="nil"/>
              <w:right w:val="nil"/>
            </w:tcBorders>
            <w:shd w:val="clear" w:color="auto" w:fill="auto"/>
            <w:noWrap/>
            <w:vAlign w:val="bottom"/>
            <w:hideMark/>
          </w:tcPr>
          <w:p w:rsidR="008F715D" w:rsidRPr="009A1045" w:rsidRDefault="008F715D" w:rsidP="002105A0">
            <w:pPr>
              <w:rPr>
                <w:sz w:val="20"/>
                <w:szCs w:val="20"/>
              </w:rPr>
            </w:pPr>
            <w:r w:rsidRPr="009A1045">
              <w:rPr>
                <w:sz w:val="20"/>
                <w:szCs w:val="20"/>
              </w:rPr>
              <w:t>Autres postes nets</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-139,3</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-150,7</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-124,6</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-226,9</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-193,9</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-173,5</w:t>
            </w:r>
          </w:p>
        </w:tc>
      </w:tr>
      <w:tr w:rsidR="008F715D" w:rsidRPr="00DF172B" w:rsidTr="002105A0">
        <w:trPr>
          <w:trHeight w:val="300"/>
        </w:trPr>
        <w:tc>
          <w:tcPr>
            <w:tcW w:w="3880" w:type="dxa"/>
            <w:tcBorders>
              <w:top w:val="nil"/>
              <w:left w:val="single" w:sz="8" w:space="0" w:color="auto"/>
              <w:bottom w:val="nil"/>
              <w:right w:val="nil"/>
            </w:tcBorders>
            <w:shd w:val="clear" w:color="000000" w:fill="DBE5F1"/>
            <w:noWrap/>
            <w:vAlign w:val="bottom"/>
            <w:hideMark/>
          </w:tcPr>
          <w:p w:rsidR="008F715D" w:rsidRPr="009A1045" w:rsidRDefault="008F715D" w:rsidP="002105A0">
            <w:pPr>
              <w:rPr>
                <w:b/>
                <w:bCs/>
                <w:sz w:val="20"/>
                <w:szCs w:val="20"/>
              </w:rPr>
            </w:pPr>
            <w:r w:rsidRPr="009A1045">
              <w:rPr>
                <w:b/>
                <w:bCs/>
                <w:sz w:val="20"/>
                <w:szCs w:val="20"/>
              </w:rPr>
              <w:t>Monnaie au sens large</w:t>
            </w:r>
          </w:p>
        </w:tc>
        <w:tc>
          <w:tcPr>
            <w:tcW w:w="940" w:type="dxa"/>
            <w:tcBorders>
              <w:top w:val="nil"/>
              <w:left w:val="single" w:sz="8" w:space="0" w:color="auto"/>
              <w:bottom w:val="nil"/>
              <w:right w:val="nil"/>
            </w:tcBorders>
            <w:shd w:val="clear" w:color="000000" w:fill="DBE5F1"/>
            <w:noWrap/>
            <w:vAlign w:val="center"/>
            <w:hideMark/>
          </w:tcPr>
          <w:p w:rsidR="008F715D" w:rsidRPr="009A1045" w:rsidRDefault="008F715D" w:rsidP="002105A0">
            <w:pPr>
              <w:jc w:val="center"/>
              <w:rPr>
                <w:b/>
                <w:bCs/>
                <w:color w:val="000000"/>
                <w:sz w:val="18"/>
                <w:szCs w:val="18"/>
              </w:rPr>
            </w:pPr>
            <w:r w:rsidRPr="009A1045">
              <w:rPr>
                <w:b/>
                <w:bCs/>
                <w:color w:val="000000"/>
                <w:sz w:val="18"/>
                <w:szCs w:val="18"/>
              </w:rPr>
              <w:t>2151,2</w:t>
            </w:r>
          </w:p>
        </w:tc>
        <w:tc>
          <w:tcPr>
            <w:tcW w:w="960" w:type="dxa"/>
            <w:tcBorders>
              <w:top w:val="nil"/>
              <w:left w:val="nil"/>
              <w:bottom w:val="nil"/>
              <w:right w:val="nil"/>
            </w:tcBorders>
            <w:shd w:val="clear" w:color="000000" w:fill="DBE5F1"/>
            <w:noWrap/>
            <w:vAlign w:val="center"/>
            <w:hideMark/>
          </w:tcPr>
          <w:p w:rsidR="008F715D" w:rsidRPr="009A1045" w:rsidRDefault="008F715D" w:rsidP="002105A0">
            <w:pPr>
              <w:jc w:val="center"/>
              <w:rPr>
                <w:b/>
                <w:bCs/>
                <w:color w:val="000000"/>
                <w:sz w:val="18"/>
                <w:szCs w:val="18"/>
              </w:rPr>
            </w:pPr>
            <w:r w:rsidRPr="009A1045">
              <w:rPr>
                <w:b/>
                <w:bCs/>
                <w:color w:val="000000"/>
                <w:sz w:val="18"/>
                <w:szCs w:val="18"/>
              </w:rPr>
              <w:t>2169,7</w:t>
            </w:r>
          </w:p>
        </w:tc>
        <w:tc>
          <w:tcPr>
            <w:tcW w:w="1040" w:type="dxa"/>
            <w:tcBorders>
              <w:top w:val="nil"/>
              <w:left w:val="nil"/>
              <w:bottom w:val="nil"/>
              <w:right w:val="nil"/>
            </w:tcBorders>
            <w:shd w:val="clear" w:color="000000" w:fill="DBE5F1"/>
            <w:noWrap/>
            <w:vAlign w:val="center"/>
            <w:hideMark/>
          </w:tcPr>
          <w:p w:rsidR="008F715D" w:rsidRPr="009A1045" w:rsidRDefault="008F715D" w:rsidP="002105A0">
            <w:pPr>
              <w:jc w:val="center"/>
              <w:rPr>
                <w:b/>
                <w:bCs/>
                <w:color w:val="000000"/>
                <w:sz w:val="18"/>
                <w:szCs w:val="18"/>
              </w:rPr>
            </w:pPr>
            <w:r w:rsidRPr="009A1045">
              <w:rPr>
                <w:b/>
                <w:bCs/>
                <w:color w:val="000000"/>
                <w:sz w:val="18"/>
                <w:szCs w:val="18"/>
              </w:rPr>
              <w:t>2180,9</w:t>
            </w:r>
          </w:p>
        </w:tc>
        <w:tc>
          <w:tcPr>
            <w:tcW w:w="920" w:type="dxa"/>
            <w:tcBorders>
              <w:top w:val="nil"/>
              <w:left w:val="nil"/>
              <w:bottom w:val="nil"/>
              <w:right w:val="nil"/>
            </w:tcBorders>
            <w:shd w:val="clear" w:color="000000" w:fill="DBE5F1"/>
            <w:noWrap/>
            <w:vAlign w:val="center"/>
            <w:hideMark/>
          </w:tcPr>
          <w:p w:rsidR="008F715D" w:rsidRPr="009A1045" w:rsidRDefault="008F715D" w:rsidP="002105A0">
            <w:pPr>
              <w:jc w:val="center"/>
              <w:rPr>
                <w:b/>
                <w:bCs/>
                <w:color w:val="000000"/>
                <w:sz w:val="18"/>
                <w:szCs w:val="18"/>
              </w:rPr>
            </w:pPr>
            <w:r w:rsidRPr="009A1045">
              <w:rPr>
                <w:b/>
                <w:bCs/>
                <w:color w:val="000000"/>
                <w:sz w:val="18"/>
                <w:szCs w:val="18"/>
              </w:rPr>
              <w:t>2236,9</w:t>
            </w:r>
          </w:p>
        </w:tc>
        <w:tc>
          <w:tcPr>
            <w:tcW w:w="940" w:type="dxa"/>
            <w:tcBorders>
              <w:top w:val="nil"/>
              <w:left w:val="nil"/>
              <w:bottom w:val="nil"/>
              <w:right w:val="nil"/>
            </w:tcBorders>
            <w:shd w:val="clear" w:color="000000" w:fill="DBE5F1"/>
            <w:noWrap/>
            <w:vAlign w:val="center"/>
            <w:hideMark/>
          </w:tcPr>
          <w:p w:rsidR="008F715D" w:rsidRPr="009A1045" w:rsidRDefault="008F715D" w:rsidP="002105A0">
            <w:pPr>
              <w:jc w:val="center"/>
              <w:rPr>
                <w:b/>
                <w:bCs/>
                <w:color w:val="000000"/>
                <w:sz w:val="18"/>
                <w:szCs w:val="18"/>
              </w:rPr>
            </w:pPr>
            <w:r w:rsidRPr="009A1045">
              <w:rPr>
                <w:b/>
                <w:bCs/>
                <w:color w:val="000000"/>
                <w:sz w:val="18"/>
                <w:szCs w:val="18"/>
              </w:rPr>
              <w:t>2225,9</w:t>
            </w:r>
          </w:p>
        </w:tc>
        <w:tc>
          <w:tcPr>
            <w:tcW w:w="980" w:type="dxa"/>
            <w:tcBorders>
              <w:top w:val="nil"/>
              <w:left w:val="nil"/>
              <w:bottom w:val="nil"/>
              <w:right w:val="single" w:sz="8" w:space="0" w:color="auto"/>
            </w:tcBorders>
            <w:shd w:val="clear" w:color="000000" w:fill="DBE5F1"/>
            <w:noWrap/>
            <w:vAlign w:val="center"/>
            <w:hideMark/>
          </w:tcPr>
          <w:p w:rsidR="008F715D" w:rsidRPr="009A1045" w:rsidRDefault="008F715D" w:rsidP="002105A0">
            <w:pPr>
              <w:jc w:val="center"/>
              <w:rPr>
                <w:b/>
                <w:bCs/>
                <w:color w:val="000000"/>
                <w:sz w:val="18"/>
                <w:szCs w:val="18"/>
              </w:rPr>
            </w:pPr>
            <w:r w:rsidRPr="009A1045">
              <w:rPr>
                <w:b/>
                <w:bCs/>
                <w:color w:val="000000"/>
                <w:sz w:val="18"/>
                <w:szCs w:val="18"/>
              </w:rPr>
              <w:t>2213,4</w:t>
            </w:r>
          </w:p>
        </w:tc>
      </w:tr>
      <w:tr w:rsidR="008F715D" w:rsidRPr="00DF172B" w:rsidTr="002105A0">
        <w:trPr>
          <w:trHeight w:val="300"/>
        </w:trPr>
        <w:tc>
          <w:tcPr>
            <w:tcW w:w="3880" w:type="dxa"/>
            <w:tcBorders>
              <w:top w:val="nil"/>
              <w:left w:val="single" w:sz="8" w:space="0" w:color="auto"/>
              <w:bottom w:val="nil"/>
              <w:right w:val="nil"/>
            </w:tcBorders>
            <w:shd w:val="clear" w:color="auto" w:fill="auto"/>
            <w:noWrap/>
            <w:vAlign w:val="bottom"/>
            <w:hideMark/>
          </w:tcPr>
          <w:p w:rsidR="008F715D" w:rsidRPr="009A1045" w:rsidRDefault="008F715D" w:rsidP="002105A0">
            <w:pPr>
              <w:rPr>
                <w:sz w:val="20"/>
                <w:szCs w:val="20"/>
              </w:rPr>
            </w:pPr>
            <w:r w:rsidRPr="009A1045">
              <w:rPr>
                <w:sz w:val="20"/>
                <w:szCs w:val="20"/>
              </w:rPr>
              <w:t xml:space="preserve">   Circulation fiduciaire</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352,5</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338,8</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353,7</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331,5</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348,4</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356,3</w:t>
            </w:r>
          </w:p>
        </w:tc>
      </w:tr>
      <w:tr w:rsidR="008F715D" w:rsidRPr="00DF172B" w:rsidTr="002105A0">
        <w:trPr>
          <w:trHeight w:val="300"/>
        </w:trPr>
        <w:tc>
          <w:tcPr>
            <w:tcW w:w="3880" w:type="dxa"/>
            <w:tcBorders>
              <w:top w:val="nil"/>
              <w:left w:val="single" w:sz="8" w:space="0" w:color="auto"/>
              <w:bottom w:val="nil"/>
              <w:right w:val="nil"/>
            </w:tcBorders>
            <w:shd w:val="clear" w:color="auto" w:fill="auto"/>
            <w:noWrap/>
            <w:vAlign w:val="bottom"/>
            <w:hideMark/>
          </w:tcPr>
          <w:p w:rsidR="008F715D" w:rsidRPr="009A1045" w:rsidRDefault="008F715D" w:rsidP="002105A0">
            <w:pPr>
              <w:rPr>
                <w:sz w:val="20"/>
                <w:szCs w:val="20"/>
              </w:rPr>
            </w:pPr>
            <w:r w:rsidRPr="009A1045">
              <w:rPr>
                <w:sz w:val="20"/>
                <w:szCs w:val="20"/>
              </w:rPr>
              <w:t xml:space="preserve">   Dépôts</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1798,7</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1830,9</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1827,3</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1905,4</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1877,5</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color w:val="000000"/>
                <w:sz w:val="18"/>
                <w:szCs w:val="18"/>
              </w:rPr>
            </w:pPr>
            <w:r w:rsidRPr="009A1045">
              <w:rPr>
                <w:color w:val="000000"/>
                <w:sz w:val="18"/>
                <w:szCs w:val="18"/>
              </w:rPr>
              <w:t>1857,1</w:t>
            </w:r>
          </w:p>
        </w:tc>
      </w:tr>
      <w:tr w:rsidR="008F715D" w:rsidRPr="00DF172B" w:rsidTr="002105A0">
        <w:trPr>
          <w:trHeight w:val="315"/>
        </w:trPr>
        <w:tc>
          <w:tcPr>
            <w:tcW w:w="3880" w:type="dxa"/>
            <w:tcBorders>
              <w:top w:val="nil"/>
              <w:left w:val="single" w:sz="8" w:space="0" w:color="auto"/>
              <w:bottom w:val="nil"/>
              <w:right w:val="nil"/>
            </w:tcBorders>
            <w:shd w:val="clear" w:color="auto" w:fill="auto"/>
            <w:noWrap/>
            <w:vAlign w:val="bottom"/>
            <w:hideMark/>
          </w:tcPr>
          <w:p w:rsidR="008F715D" w:rsidRPr="009A1045" w:rsidRDefault="008F715D" w:rsidP="002105A0">
            <w:pPr>
              <w:rPr>
                <w:b/>
                <w:bCs/>
                <w:sz w:val="20"/>
                <w:szCs w:val="20"/>
              </w:rPr>
            </w:pPr>
            <w:r w:rsidRPr="009A1045">
              <w:rPr>
                <w:b/>
                <w:bCs/>
                <w:sz w:val="20"/>
                <w:szCs w:val="20"/>
              </w:rPr>
              <w:t>Quasi monnaie</w:t>
            </w:r>
          </w:p>
        </w:tc>
        <w:tc>
          <w:tcPr>
            <w:tcW w:w="940" w:type="dxa"/>
            <w:tcBorders>
              <w:top w:val="nil"/>
              <w:left w:val="single" w:sz="8" w:space="0" w:color="auto"/>
              <w:bottom w:val="single" w:sz="8" w:space="0" w:color="auto"/>
              <w:right w:val="nil"/>
            </w:tcBorders>
            <w:shd w:val="clear" w:color="auto" w:fill="auto"/>
            <w:noWrap/>
            <w:vAlign w:val="bottom"/>
            <w:hideMark/>
          </w:tcPr>
          <w:p w:rsidR="008F715D" w:rsidRPr="009A1045" w:rsidRDefault="008F715D" w:rsidP="002105A0">
            <w:pPr>
              <w:jc w:val="center"/>
              <w:rPr>
                <w:color w:val="000000"/>
                <w:sz w:val="18"/>
                <w:szCs w:val="18"/>
              </w:rPr>
            </w:pPr>
            <w:r w:rsidRPr="009A1045">
              <w:rPr>
                <w:color w:val="000000"/>
                <w:sz w:val="18"/>
                <w:szCs w:val="18"/>
              </w:rPr>
              <w:t>794,5</w:t>
            </w:r>
          </w:p>
        </w:tc>
        <w:tc>
          <w:tcPr>
            <w:tcW w:w="960" w:type="dxa"/>
            <w:tcBorders>
              <w:top w:val="nil"/>
              <w:left w:val="nil"/>
              <w:bottom w:val="single" w:sz="8" w:space="0" w:color="auto"/>
              <w:right w:val="nil"/>
            </w:tcBorders>
            <w:shd w:val="clear" w:color="auto" w:fill="auto"/>
            <w:noWrap/>
            <w:vAlign w:val="bottom"/>
            <w:hideMark/>
          </w:tcPr>
          <w:p w:rsidR="008F715D" w:rsidRPr="009A1045" w:rsidRDefault="008F715D" w:rsidP="002105A0">
            <w:pPr>
              <w:jc w:val="center"/>
              <w:rPr>
                <w:color w:val="000000"/>
                <w:sz w:val="18"/>
                <w:szCs w:val="18"/>
              </w:rPr>
            </w:pPr>
            <w:r w:rsidRPr="009A1045">
              <w:rPr>
                <w:color w:val="000000"/>
                <w:sz w:val="18"/>
                <w:szCs w:val="18"/>
              </w:rPr>
              <w:t>790,3</w:t>
            </w:r>
          </w:p>
        </w:tc>
        <w:tc>
          <w:tcPr>
            <w:tcW w:w="1040" w:type="dxa"/>
            <w:tcBorders>
              <w:top w:val="nil"/>
              <w:left w:val="nil"/>
              <w:bottom w:val="single" w:sz="8" w:space="0" w:color="auto"/>
              <w:right w:val="nil"/>
            </w:tcBorders>
            <w:shd w:val="clear" w:color="auto" w:fill="auto"/>
            <w:noWrap/>
            <w:vAlign w:val="bottom"/>
            <w:hideMark/>
          </w:tcPr>
          <w:p w:rsidR="008F715D" w:rsidRPr="009A1045" w:rsidRDefault="008F715D" w:rsidP="002105A0">
            <w:pPr>
              <w:jc w:val="center"/>
              <w:rPr>
                <w:color w:val="000000"/>
                <w:sz w:val="18"/>
                <w:szCs w:val="18"/>
              </w:rPr>
            </w:pPr>
            <w:r w:rsidRPr="009A1045">
              <w:rPr>
                <w:color w:val="000000"/>
                <w:sz w:val="18"/>
                <w:szCs w:val="18"/>
              </w:rPr>
              <w:t>752,7</w:t>
            </w:r>
          </w:p>
        </w:tc>
        <w:tc>
          <w:tcPr>
            <w:tcW w:w="920" w:type="dxa"/>
            <w:tcBorders>
              <w:top w:val="nil"/>
              <w:left w:val="nil"/>
              <w:bottom w:val="single" w:sz="8" w:space="0" w:color="auto"/>
              <w:right w:val="nil"/>
            </w:tcBorders>
            <w:shd w:val="clear" w:color="auto" w:fill="auto"/>
            <w:noWrap/>
            <w:vAlign w:val="bottom"/>
            <w:hideMark/>
          </w:tcPr>
          <w:p w:rsidR="008F715D" w:rsidRPr="009A1045" w:rsidRDefault="008F715D" w:rsidP="002105A0">
            <w:pPr>
              <w:jc w:val="center"/>
              <w:rPr>
                <w:color w:val="000000"/>
                <w:sz w:val="18"/>
                <w:szCs w:val="18"/>
              </w:rPr>
            </w:pPr>
            <w:r w:rsidRPr="009A1045">
              <w:rPr>
                <w:color w:val="000000"/>
                <w:sz w:val="18"/>
                <w:szCs w:val="18"/>
              </w:rPr>
              <w:t>797,2</w:t>
            </w:r>
          </w:p>
        </w:tc>
        <w:tc>
          <w:tcPr>
            <w:tcW w:w="940" w:type="dxa"/>
            <w:tcBorders>
              <w:top w:val="nil"/>
              <w:left w:val="nil"/>
              <w:bottom w:val="single" w:sz="8" w:space="0" w:color="auto"/>
              <w:right w:val="nil"/>
            </w:tcBorders>
            <w:shd w:val="clear" w:color="auto" w:fill="auto"/>
            <w:noWrap/>
            <w:vAlign w:val="bottom"/>
            <w:hideMark/>
          </w:tcPr>
          <w:p w:rsidR="008F715D" w:rsidRPr="009A1045" w:rsidRDefault="008F715D" w:rsidP="002105A0">
            <w:pPr>
              <w:jc w:val="center"/>
              <w:rPr>
                <w:color w:val="000000"/>
                <w:sz w:val="18"/>
                <w:szCs w:val="18"/>
              </w:rPr>
            </w:pPr>
            <w:r w:rsidRPr="009A1045">
              <w:rPr>
                <w:color w:val="000000"/>
                <w:sz w:val="18"/>
                <w:szCs w:val="18"/>
              </w:rPr>
              <w:t>796,9</w:t>
            </w:r>
          </w:p>
        </w:tc>
        <w:tc>
          <w:tcPr>
            <w:tcW w:w="980" w:type="dxa"/>
            <w:tcBorders>
              <w:top w:val="nil"/>
              <w:left w:val="nil"/>
              <w:bottom w:val="single" w:sz="8" w:space="0" w:color="auto"/>
              <w:right w:val="single" w:sz="8" w:space="0" w:color="auto"/>
            </w:tcBorders>
            <w:shd w:val="clear" w:color="auto" w:fill="auto"/>
            <w:noWrap/>
            <w:vAlign w:val="bottom"/>
            <w:hideMark/>
          </w:tcPr>
          <w:p w:rsidR="008F715D" w:rsidRPr="009A1045" w:rsidRDefault="008F715D" w:rsidP="002105A0">
            <w:pPr>
              <w:jc w:val="center"/>
              <w:rPr>
                <w:color w:val="000000"/>
                <w:sz w:val="18"/>
                <w:szCs w:val="18"/>
              </w:rPr>
            </w:pPr>
            <w:r w:rsidRPr="009A1045">
              <w:rPr>
                <w:color w:val="000000"/>
                <w:sz w:val="18"/>
                <w:szCs w:val="18"/>
              </w:rPr>
              <w:t>742,7</w:t>
            </w:r>
          </w:p>
        </w:tc>
      </w:tr>
      <w:tr w:rsidR="008F715D" w:rsidRPr="00DF172B" w:rsidTr="002105A0">
        <w:trPr>
          <w:trHeight w:val="315"/>
        </w:trPr>
        <w:tc>
          <w:tcPr>
            <w:tcW w:w="3880" w:type="dxa"/>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8F715D" w:rsidRPr="009A1045" w:rsidRDefault="008F715D" w:rsidP="002105A0">
            <w:pPr>
              <w:rPr>
                <w:sz w:val="20"/>
                <w:szCs w:val="20"/>
              </w:rPr>
            </w:pPr>
            <w:r w:rsidRPr="009A1045">
              <w:rPr>
                <w:sz w:val="20"/>
                <w:szCs w:val="20"/>
              </w:rPr>
              <w:t> </w:t>
            </w:r>
          </w:p>
        </w:tc>
        <w:tc>
          <w:tcPr>
            <w:tcW w:w="5780" w:type="dxa"/>
            <w:gridSpan w:val="6"/>
            <w:tcBorders>
              <w:top w:val="single" w:sz="8" w:space="0" w:color="auto"/>
              <w:left w:val="nil"/>
              <w:bottom w:val="single" w:sz="8" w:space="0" w:color="auto"/>
              <w:right w:val="single" w:sz="8" w:space="0" w:color="000000"/>
            </w:tcBorders>
            <w:shd w:val="clear" w:color="000000" w:fill="DBE5F1"/>
            <w:noWrap/>
            <w:vAlign w:val="center"/>
            <w:hideMark/>
          </w:tcPr>
          <w:p w:rsidR="008F715D" w:rsidRPr="009A1045" w:rsidRDefault="008F715D" w:rsidP="002105A0">
            <w:pPr>
              <w:jc w:val="center"/>
              <w:rPr>
                <w:b/>
                <w:bCs/>
                <w:i/>
                <w:iCs/>
                <w:color w:val="000000"/>
                <w:sz w:val="18"/>
                <w:szCs w:val="18"/>
              </w:rPr>
            </w:pPr>
            <w:r w:rsidRPr="009A1045">
              <w:rPr>
                <w:b/>
                <w:bCs/>
                <w:i/>
                <w:iCs/>
                <w:color w:val="000000"/>
                <w:sz w:val="18"/>
                <w:szCs w:val="18"/>
              </w:rPr>
              <w:t xml:space="preserve">      (variation annuelle en %)</w:t>
            </w:r>
          </w:p>
        </w:tc>
      </w:tr>
      <w:tr w:rsidR="008F715D" w:rsidRPr="00DF172B" w:rsidTr="002105A0">
        <w:trPr>
          <w:trHeight w:val="300"/>
        </w:trPr>
        <w:tc>
          <w:tcPr>
            <w:tcW w:w="3880" w:type="dxa"/>
            <w:tcBorders>
              <w:top w:val="nil"/>
              <w:left w:val="single" w:sz="8" w:space="0" w:color="auto"/>
              <w:bottom w:val="nil"/>
              <w:right w:val="single" w:sz="8" w:space="0" w:color="auto"/>
            </w:tcBorders>
            <w:shd w:val="clear" w:color="auto" w:fill="auto"/>
            <w:noWrap/>
            <w:vAlign w:val="bottom"/>
            <w:hideMark/>
          </w:tcPr>
          <w:p w:rsidR="008F715D" w:rsidRPr="009A1045" w:rsidRDefault="008F715D" w:rsidP="002105A0">
            <w:pPr>
              <w:rPr>
                <w:b/>
                <w:bCs/>
                <w:sz w:val="20"/>
                <w:szCs w:val="20"/>
              </w:rPr>
            </w:pPr>
            <w:r w:rsidRPr="009A1045">
              <w:rPr>
                <w:b/>
                <w:bCs/>
                <w:sz w:val="20"/>
                <w:szCs w:val="20"/>
              </w:rPr>
              <w:t>Monnaie au sens large</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i/>
                <w:iCs/>
                <w:color w:val="FF0000"/>
                <w:sz w:val="18"/>
                <w:szCs w:val="18"/>
              </w:rPr>
            </w:pPr>
            <w:r w:rsidRPr="009A1045">
              <w:rPr>
                <w:i/>
                <w:iCs/>
                <w:color w:val="FF0000"/>
                <w:sz w:val="18"/>
                <w:szCs w:val="18"/>
              </w:rPr>
              <w:t>-3,3%</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i/>
                <w:iCs/>
                <w:color w:val="FF0000"/>
                <w:sz w:val="18"/>
                <w:szCs w:val="18"/>
              </w:rPr>
            </w:pPr>
            <w:r w:rsidRPr="009A1045">
              <w:rPr>
                <w:i/>
                <w:iCs/>
                <w:color w:val="FF0000"/>
                <w:sz w:val="18"/>
                <w:szCs w:val="18"/>
              </w:rPr>
              <w:t>-4,2%</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i/>
                <w:iCs/>
                <w:sz w:val="18"/>
                <w:szCs w:val="18"/>
              </w:rPr>
            </w:pPr>
            <w:r w:rsidRPr="009A1045">
              <w:rPr>
                <w:i/>
                <w:iCs/>
                <w:sz w:val="18"/>
                <w:szCs w:val="18"/>
              </w:rPr>
              <w:t>-1,2%</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i/>
                <w:iCs/>
                <w:sz w:val="18"/>
                <w:szCs w:val="18"/>
              </w:rPr>
            </w:pPr>
            <w:r w:rsidRPr="009A1045">
              <w:rPr>
                <w:i/>
                <w:iCs/>
                <w:sz w:val="18"/>
                <w:szCs w:val="18"/>
              </w:rPr>
              <w:t>4,0%</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i/>
                <w:iCs/>
                <w:sz w:val="18"/>
                <w:szCs w:val="18"/>
              </w:rPr>
            </w:pPr>
            <w:r w:rsidRPr="009A1045">
              <w:rPr>
                <w:i/>
                <w:iCs/>
                <w:sz w:val="18"/>
                <w:szCs w:val="18"/>
              </w:rPr>
              <w:t>2,6%</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i/>
                <w:iCs/>
                <w:sz w:val="18"/>
                <w:szCs w:val="18"/>
              </w:rPr>
            </w:pPr>
            <w:r w:rsidRPr="009A1045">
              <w:rPr>
                <w:i/>
                <w:iCs/>
                <w:sz w:val="18"/>
                <w:szCs w:val="18"/>
              </w:rPr>
              <w:t>1,5%</w:t>
            </w:r>
          </w:p>
        </w:tc>
      </w:tr>
      <w:tr w:rsidR="008F715D" w:rsidRPr="00DF172B" w:rsidTr="002105A0">
        <w:trPr>
          <w:trHeight w:val="300"/>
        </w:trPr>
        <w:tc>
          <w:tcPr>
            <w:tcW w:w="3880" w:type="dxa"/>
            <w:tcBorders>
              <w:top w:val="nil"/>
              <w:left w:val="single" w:sz="8" w:space="0" w:color="auto"/>
              <w:bottom w:val="nil"/>
              <w:right w:val="single" w:sz="8" w:space="0" w:color="auto"/>
            </w:tcBorders>
            <w:shd w:val="clear" w:color="auto" w:fill="auto"/>
            <w:noWrap/>
            <w:vAlign w:val="bottom"/>
            <w:hideMark/>
          </w:tcPr>
          <w:p w:rsidR="008F715D" w:rsidRPr="009A1045" w:rsidRDefault="008F715D" w:rsidP="002105A0">
            <w:pPr>
              <w:rPr>
                <w:sz w:val="20"/>
                <w:szCs w:val="20"/>
              </w:rPr>
            </w:pPr>
            <w:r w:rsidRPr="009A1045">
              <w:rPr>
                <w:sz w:val="20"/>
                <w:szCs w:val="20"/>
              </w:rPr>
              <w:t xml:space="preserve">   Circulation fiduciaire</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i/>
                <w:iCs/>
                <w:color w:val="FF0000"/>
                <w:sz w:val="18"/>
                <w:szCs w:val="18"/>
              </w:rPr>
            </w:pPr>
            <w:r w:rsidRPr="009A1045">
              <w:rPr>
                <w:i/>
                <w:iCs/>
                <w:color w:val="FF0000"/>
                <w:sz w:val="18"/>
                <w:szCs w:val="18"/>
              </w:rPr>
              <w:t>-3,0%</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i/>
                <w:iCs/>
                <w:color w:val="FF0000"/>
                <w:sz w:val="18"/>
                <w:szCs w:val="18"/>
              </w:rPr>
            </w:pPr>
            <w:r w:rsidRPr="009A1045">
              <w:rPr>
                <w:i/>
                <w:iCs/>
                <w:color w:val="FF0000"/>
                <w:sz w:val="18"/>
                <w:szCs w:val="18"/>
              </w:rPr>
              <w:t>-7,9%</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i/>
                <w:iCs/>
                <w:sz w:val="18"/>
                <w:szCs w:val="18"/>
              </w:rPr>
            </w:pPr>
            <w:r w:rsidRPr="009A1045">
              <w:rPr>
                <w:i/>
                <w:iCs/>
                <w:sz w:val="18"/>
                <w:szCs w:val="18"/>
              </w:rPr>
              <w:t>-4,1%</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i/>
                <w:iCs/>
                <w:color w:val="FF0000"/>
                <w:sz w:val="18"/>
                <w:szCs w:val="18"/>
              </w:rPr>
            </w:pPr>
            <w:r w:rsidRPr="009A1045">
              <w:rPr>
                <w:i/>
                <w:iCs/>
                <w:color w:val="FF0000"/>
                <w:sz w:val="18"/>
                <w:szCs w:val="18"/>
              </w:rPr>
              <w:t>-6,0%</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i/>
                <w:iCs/>
                <w:sz w:val="18"/>
                <w:szCs w:val="18"/>
              </w:rPr>
            </w:pPr>
            <w:r w:rsidRPr="009A1045">
              <w:rPr>
                <w:i/>
                <w:iCs/>
                <w:sz w:val="18"/>
                <w:szCs w:val="18"/>
              </w:rPr>
              <w:t>2,8%</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i/>
                <w:iCs/>
                <w:sz w:val="18"/>
                <w:szCs w:val="18"/>
              </w:rPr>
            </w:pPr>
            <w:r w:rsidRPr="009A1045">
              <w:rPr>
                <w:i/>
                <w:iCs/>
                <w:sz w:val="18"/>
                <w:szCs w:val="18"/>
              </w:rPr>
              <w:t>0,7%</w:t>
            </w:r>
          </w:p>
        </w:tc>
      </w:tr>
      <w:tr w:rsidR="008F715D" w:rsidRPr="00DF172B" w:rsidTr="002105A0">
        <w:trPr>
          <w:trHeight w:val="300"/>
        </w:trPr>
        <w:tc>
          <w:tcPr>
            <w:tcW w:w="3880" w:type="dxa"/>
            <w:tcBorders>
              <w:top w:val="nil"/>
              <w:left w:val="single" w:sz="8" w:space="0" w:color="auto"/>
              <w:bottom w:val="nil"/>
              <w:right w:val="single" w:sz="8" w:space="0" w:color="auto"/>
            </w:tcBorders>
            <w:shd w:val="clear" w:color="auto" w:fill="auto"/>
            <w:noWrap/>
            <w:vAlign w:val="bottom"/>
            <w:hideMark/>
          </w:tcPr>
          <w:p w:rsidR="008F715D" w:rsidRPr="009A1045" w:rsidRDefault="008F715D" w:rsidP="002105A0">
            <w:pPr>
              <w:rPr>
                <w:sz w:val="20"/>
                <w:szCs w:val="20"/>
              </w:rPr>
            </w:pPr>
            <w:r w:rsidRPr="009A1045">
              <w:rPr>
                <w:sz w:val="20"/>
                <w:szCs w:val="20"/>
              </w:rPr>
              <w:t xml:space="preserve">   Dépôts</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i/>
                <w:iCs/>
                <w:color w:val="FF0000"/>
                <w:sz w:val="18"/>
                <w:szCs w:val="18"/>
              </w:rPr>
            </w:pPr>
            <w:r w:rsidRPr="009A1045">
              <w:rPr>
                <w:i/>
                <w:iCs/>
                <w:color w:val="FF0000"/>
                <w:sz w:val="18"/>
                <w:szCs w:val="18"/>
              </w:rPr>
              <w:t>-3,4%</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i/>
                <w:iCs/>
                <w:color w:val="FF0000"/>
                <w:sz w:val="18"/>
                <w:szCs w:val="18"/>
              </w:rPr>
            </w:pPr>
            <w:r w:rsidRPr="009A1045">
              <w:rPr>
                <w:i/>
                <w:iCs/>
                <w:color w:val="FF0000"/>
                <w:sz w:val="18"/>
                <w:szCs w:val="18"/>
              </w:rPr>
              <w:t>-3,4%</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i/>
                <w:iCs/>
                <w:color w:val="FF0000"/>
                <w:sz w:val="18"/>
                <w:szCs w:val="18"/>
              </w:rPr>
            </w:pPr>
            <w:r w:rsidRPr="009A1045">
              <w:rPr>
                <w:i/>
                <w:iCs/>
                <w:color w:val="FF0000"/>
                <w:sz w:val="18"/>
                <w:szCs w:val="18"/>
              </w:rPr>
              <w:t>-0,6%</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i/>
                <w:iCs/>
                <w:sz w:val="18"/>
                <w:szCs w:val="18"/>
              </w:rPr>
            </w:pPr>
            <w:r w:rsidRPr="009A1045">
              <w:rPr>
                <w:i/>
                <w:iCs/>
                <w:sz w:val="18"/>
                <w:szCs w:val="18"/>
              </w:rPr>
              <w:t>5,9%</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i/>
                <w:iCs/>
                <w:sz w:val="18"/>
                <w:szCs w:val="18"/>
              </w:rPr>
            </w:pPr>
            <w:r w:rsidRPr="009A1045">
              <w:rPr>
                <w:i/>
                <w:iCs/>
                <w:sz w:val="18"/>
                <w:szCs w:val="18"/>
              </w:rPr>
              <w:t>2,5%</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i/>
                <w:iCs/>
                <w:color w:val="0D0D0D"/>
                <w:sz w:val="18"/>
                <w:szCs w:val="18"/>
              </w:rPr>
            </w:pPr>
            <w:r w:rsidRPr="009A1045">
              <w:rPr>
                <w:i/>
                <w:iCs/>
                <w:color w:val="0D0D0D"/>
                <w:sz w:val="18"/>
                <w:szCs w:val="18"/>
              </w:rPr>
              <w:t>1,6%</w:t>
            </w:r>
          </w:p>
        </w:tc>
      </w:tr>
      <w:tr w:rsidR="008F715D" w:rsidRPr="00DF172B" w:rsidTr="002105A0">
        <w:trPr>
          <w:trHeight w:val="300"/>
        </w:trPr>
        <w:tc>
          <w:tcPr>
            <w:tcW w:w="3880" w:type="dxa"/>
            <w:tcBorders>
              <w:top w:val="nil"/>
              <w:left w:val="single" w:sz="8" w:space="0" w:color="auto"/>
              <w:bottom w:val="nil"/>
              <w:right w:val="single" w:sz="8" w:space="0" w:color="auto"/>
            </w:tcBorders>
            <w:shd w:val="clear" w:color="auto" w:fill="auto"/>
            <w:noWrap/>
            <w:vAlign w:val="bottom"/>
            <w:hideMark/>
          </w:tcPr>
          <w:p w:rsidR="008F715D" w:rsidRPr="009A1045" w:rsidRDefault="008F715D" w:rsidP="002105A0">
            <w:pPr>
              <w:rPr>
                <w:sz w:val="20"/>
                <w:szCs w:val="20"/>
              </w:rPr>
            </w:pPr>
            <w:r w:rsidRPr="009A1045">
              <w:rPr>
                <w:sz w:val="20"/>
                <w:szCs w:val="20"/>
              </w:rPr>
              <w:t>Avoirs extérieurs nets</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-20,5%</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-21,0%</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sz w:val="18"/>
                <w:szCs w:val="18"/>
              </w:rPr>
            </w:pPr>
            <w:r w:rsidRPr="009A1045">
              <w:rPr>
                <w:sz w:val="18"/>
                <w:szCs w:val="18"/>
              </w:rPr>
              <w:t>-0,8%</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-15,5%</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-16,1%</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-34,7%</w:t>
            </w:r>
          </w:p>
        </w:tc>
      </w:tr>
      <w:tr w:rsidR="008F715D" w:rsidRPr="00DF172B" w:rsidTr="002105A0">
        <w:trPr>
          <w:trHeight w:val="300"/>
        </w:trPr>
        <w:tc>
          <w:tcPr>
            <w:tcW w:w="3880" w:type="dxa"/>
            <w:tcBorders>
              <w:top w:val="nil"/>
              <w:left w:val="single" w:sz="8" w:space="0" w:color="auto"/>
              <w:bottom w:val="nil"/>
              <w:right w:val="single" w:sz="8" w:space="0" w:color="auto"/>
            </w:tcBorders>
            <w:shd w:val="clear" w:color="auto" w:fill="auto"/>
            <w:noWrap/>
            <w:vAlign w:val="bottom"/>
            <w:hideMark/>
          </w:tcPr>
          <w:p w:rsidR="008F715D" w:rsidRPr="009A1045" w:rsidRDefault="008F715D" w:rsidP="002105A0">
            <w:pPr>
              <w:rPr>
                <w:sz w:val="20"/>
                <w:szCs w:val="20"/>
              </w:rPr>
            </w:pPr>
            <w:r w:rsidRPr="009A1045">
              <w:rPr>
                <w:sz w:val="20"/>
                <w:szCs w:val="20"/>
              </w:rPr>
              <w:t>Avoirs intérieurs nets</w:t>
            </w:r>
          </w:p>
        </w:tc>
        <w:tc>
          <w:tcPr>
            <w:tcW w:w="940" w:type="dxa"/>
            <w:tcBorders>
              <w:top w:val="nil"/>
              <w:left w:val="single" w:sz="8" w:space="0" w:color="auto"/>
              <w:bottom w:val="nil"/>
              <w:right w:val="nil"/>
            </w:tcBorders>
            <w:shd w:val="clear" w:color="auto" w:fill="auto"/>
            <w:noWrap/>
            <w:vAlign w:val="center"/>
            <w:hideMark/>
          </w:tcPr>
          <w:p w:rsidR="008F715D" w:rsidRPr="009A1045" w:rsidRDefault="008F715D" w:rsidP="002105A0">
            <w:pPr>
              <w:jc w:val="center"/>
              <w:rPr>
                <w:sz w:val="18"/>
                <w:szCs w:val="18"/>
              </w:rPr>
            </w:pPr>
            <w:r w:rsidRPr="009A1045">
              <w:rPr>
                <w:sz w:val="18"/>
                <w:szCs w:val="18"/>
              </w:rPr>
              <w:t>11,1%</w:t>
            </w:r>
          </w:p>
        </w:tc>
        <w:tc>
          <w:tcPr>
            <w:tcW w:w="960" w:type="dxa"/>
            <w:tcBorders>
              <w:top w:val="nil"/>
              <w:left w:val="nil"/>
              <w:bottom w:val="nil"/>
              <w:right w:val="nil"/>
            </w:tcBorders>
            <w:shd w:val="clear" w:color="auto" w:fill="auto"/>
            <w:noWrap/>
            <w:vAlign w:val="center"/>
            <w:hideMark/>
          </w:tcPr>
          <w:p w:rsidR="008F715D" w:rsidRPr="009A1045" w:rsidRDefault="008F715D" w:rsidP="002105A0">
            <w:pPr>
              <w:jc w:val="center"/>
              <w:rPr>
                <w:sz w:val="18"/>
                <w:szCs w:val="18"/>
              </w:rPr>
            </w:pPr>
            <w:r w:rsidRPr="009A1045">
              <w:rPr>
                <w:sz w:val="18"/>
                <w:szCs w:val="18"/>
              </w:rPr>
              <w:t>31,0%</w:t>
            </w:r>
          </w:p>
        </w:tc>
        <w:tc>
          <w:tcPr>
            <w:tcW w:w="1040" w:type="dxa"/>
            <w:tcBorders>
              <w:top w:val="nil"/>
              <w:left w:val="nil"/>
              <w:bottom w:val="nil"/>
              <w:right w:val="nil"/>
            </w:tcBorders>
            <w:shd w:val="clear" w:color="auto" w:fill="auto"/>
            <w:noWrap/>
            <w:vAlign w:val="center"/>
            <w:hideMark/>
          </w:tcPr>
          <w:p w:rsidR="008F715D" w:rsidRPr="009A1045" w:rsidRDefault="008F715D" w:rsidP="002105A0">
            <w:pPr>
              <w:jc w:val="center"/>
              <w:rPr>
                <w:color w:val="FF0000"/>
                <w:sz w:val="18"/>
                <w:szCs w:val="18"/>
              </w:rPr>
            </w:pPr>
            <w:r w:rsidRPr="009A1045">
              <w:rPr>
                <w:color w:val="FF0000"/>
                <w:sz w:val="18"/>
                <w:szCs w:val="18"/>
              </w:rPr>
              <w:t>-10,9%</w:t>
            </w:r>
          </w:p>
        </w:tc>
        <w:tc>
          <w:tcPr>
            <w:tcW w:w="920" w:type="dxa"/>
            <w:tcBorders>
              <w:top w:val="nil"/>
              <w:left w:val="nil"/>
              <w:bottom w:val="nil"/>
              <w:right w:val="nil"/>
            </w:tcBorders>
            <w:shd w:val="clear" w:color="auto" w:fill="auto"/>
            <w:noWrap/>
            <w:vAlign w:val="center"/>
            <w:hideMark/>
          </w:tcPr>
          <w:p w:rsidR="008F715D" w:rsidRPr="009A1045" w:rsidRDefault="008F715D" w:rsidP="002105A0">
            <w:pPr>
              <w:jc w:val="center"/>
              <w:rPr>
                <w:sz w:val="18"/>
                <w:szCs w:val="18"/>
              </w:rPr>
            </w:pPr>
            <w:r w:rsidRPr="009A1045">
              <w:rPr>
                <w:sz w:val="18"/>
                <w:szCs w:val="18"/>
              </w:rPr>
              <w:t>15,3%</w:t>
            </w:r>
          </w:p>
        </w:tc>
        <w:tc>
          <w:tcPr>
            <w:tcW w:w="940" w:type="dxa"/>
            <w:tcBorders>
              <w:top w:val="nil"/>
              <w:left w:val="nil"/>
              <w:bottom w:val="nil"/>
              <w:right w:val="nil"/>
            </w:tcBorders>
            <w:shd w:val="clear" w:color="auto" w:fill="auto"/>
            <w:noWrap/>
            <w:vAlign w:val="center"/>
            <w:hideMark/>
          </w:tcPr>
          <w:p w:rsidR="008F715D" w:rsidRPr="009A1045" w:rsidRDefault="008F715D" w:rsidP="002105A0">
            <w:pPr>
              <w:jc w:val="center"/>
              <w:rPr>
                <w:sz w:val="18"/>
                <w:szCs w:val="18"/>
              </w:rPr>
            </w:pPr>
            <w:r w:rsidRPr="009A1045">
              <w:rPr>
                <w:sz w:val="18"/>
                <w:szCs w:val="18"/>
              </w:rPr>
              <w:t>19,9%</w:t>
            </w:r>
          </w:p>
        </w:tc>
        <w:tc>
          <w:tcPr>
            <w:tcW w:w="980" w:type="dxa"/>
            <w:tcBorders>
              <w:top w:val="nil"/>
              <w:left w:val="nil"/>
              <w:bottom w:val="nil"/>
              <w:right w:val="single" w:sz="8" w:space="0" w:color="auto"/>
            </w:tcBorders>
            <w:shd w:val="clear" w:color="auto" w:fill="auto"/>
            <w:noWrap/>
            <w:vAlign w:val="center"/>
            <w:hideMark/>
          </w:tcPr>
          <w:p w:rsidR="008F715D" w:rsidRPr="009A1045" w:rsidRDefault="008F715D" w:rsidP="002105A0">
            <w:pPr>
              <w:jc w:val="center"/>
              <w:rPr>
                <w:color w:val="0D0D0D"/>
                <w:sz w:val="18"/>
                <w:szCs w:val="18"/>
              </w:rPr>
            </w:pPr>
            <w:r w:rsidRPr="009A1045">
              <w:rPr>
                <w:color w:val="0D0D0D"/>
                <w:sz w:val="18"/>
                <w:szCs w:val="18"/>
              </w:rPr>
              <w:t>56,4%</w:t>
            </w:r>
          </w:p>
        </w:tc>
      </w:tr>
      <w:tr w:rsidR="008F715D" w:rsidRPr="00DF172B" w:rsidTr="002105A0">
        <w:trPr>
          <w:trHeight w:val="300"/>
        </w:trPr>
        <w:tc>
          <w:tcPr>
            <w:tcW w:w="3880" w:type="dxa"/>
            <w:tcBorders>
              <w:top w:val="nil"/>
              <w:left w:val="single" w:sz="8" w:space="0" w:color="auto"/>
              <w:bottom w:val="nil"/>
              <w:right w:val="single" w:sz="8" w:space="0" w:color="auto"/>
            </w:tcBorders>
            <w:shd w:val="clear" w:color="auto" w:fill="auto"/>
            <w:noWrap/>
            <w:vAlign w:val="bottom"/>
            <w:hideMark/>
          </w:tcPr>
          <w:p w:rsidR="008F715D" w:rsidRPr="009A1045" w:rsidRDefault="008F715D" w:rsidP="002105A0">
            <w:pPr>
              <w:rPr>
                <w:sz w:val="20"/>
                <w:szCs w:val="20"/>
              </w:rPr>
            </w:pPr>
            <w:r w:rsidRPr="009A1045">
              <w:rPr>
                <w:sz w:val="20"/>
                <w:szCs w:val="20"/>
              </w:rPr>
              <w:t>Crédits intérieurs nets</w:t>
            </w:r>
          </w:p>
        </w:tc>
        <w:tc>
          <w:tcPr>
            <w:tcW w:w="940" w:type="dxa"/>
            <w:tcBorders>
              <w:top w:val="nil"/>
              <w:left w:val="single" w:sz="8" w:space="0" w:color="auto"/>
              <w:bottom w:val="nil"/>
              <w:right w:val="nil"/>
            </w:tcBorders>
            <w:shd w:val="clear" w:color="auto" w:fill="auto"/>
            <w:noWrap/>
            <w:vAlign w:val="bottom"/>
            <w:hideMark/>
          </w:tcPr>
          <w:p w:rsidR="008F715D" w:rsidRPr="009A1045" w:rsidRDefault="008F715D" w:rsidP="002105A0">
            <w:pPr>
              <w:jc w:val="center"/>
              <w:rPr>
                <w:sz w:val="18"/>
                <w:szCs w:val="18"/>
              </w:rPr>
            </w:pPr>
            <w:r w:rsidRPr="009A1045">
              <w:rPr>
                <w:sz w:val="18"/>
                <w:szCs w:val="18"/>
              </w:rPr>
              <w:t>18,0%</w:t>
            </w:r>
          </w:p>
        </w:tc>
        <w:tc>
          <w:tcPr>
            <w:tcW w:w="960" w:type="dxa"/>
            <w:tcBorders>
              <w:top w:val="nil"/>
              <w:left w:val="nil"/>
              <w:bottom w:val="nil"/>
              <w:right w:val="nil"/>
            </w:tcBorders>
            <w:shd w:val="clear" w:color="auto" w:fill="auto"/>
            <w:noWrap/>
            <w:vAlign w:val="bottom"/>
            <w:hideMark/>
          </w:tcPr>
          <w:p w:rsidR="008F715D" w:rsidRPr="009A1045" w:rsidRDefault="008F715D" w:rsidP="002105A0">
            <w:pPr>
              <w:jc w:val="center"/>
              <w:rPr>
                <w:sz w:val="18"/>
                <w:szCs w:val="18"/>
              </w:rPr>
            </w:pPr>
            <w:r w:rsidRPr="009A1045">
              <w:rPr>
                <w:sz w:val="18"/>
                <w:szCs w:val="18"/>
              </w:rPr>
              <w:t>25,0%</w:t>
            </w:r>
          </w:p>
        </w:tc>
        <w:tc>
          <w:tcPr>
            <w:tcW w:w="1040" w:type="dxa"/>
            <w:tcBorders>
              <w:top w:val="nil"/>
              <w:left w:val="nil"/>
              <w:bottom w:val="nil"/>
              <w:right w:val="nil"/>
            </w:tcBorders>
            <w:shd w:val="clear" w:color="auto" w:fill="auto"/>
            <w:noWrap/>
            <w:vAlign w:val="bottom"/>
            <w:hideMark/>
          </w:tcPr>
          <w:p w:rsidR="008F715D" w:rsidRPr="009A1045" w:rsidRDefault="008F715D" w:rsidP="002105A0">
            <w:pPr>
              <w:jc w:val="center"/>
              <w:rPr>
                <w:sz w:val="18"/>
                <w:szCs w:val="18"/>
              </w:rPr>
            </w:pPr>
            <w:r w:rsidRPr="009A1045">
              <w:rPr>
                <w:sz w:val="18"/>
                <w:szCs w:val="18"/>
              </w:rPr>
              <w:t>-5,1%</w:t>
            </w:r>
          </w:p>
        </w:tc>
        <w:tc>
          <w:tcPr>
            <w:tcW w:w="920" w:type="dxa"/>
            <w:tcBorders>
              <w:top w:val="nil"/>
              <w:left w:val="nil"/>
              <w:bottom w:val="nil"/>
              <w:right w:val="nil"/>
            </w:tcBorders>
            <w:shd w:val="clear" w:color="auto" w:fill="auto"/>
            <w:noWrap/>
            <w:vAlign w:val="bottom"/>
            <w:hideMark/>
          </w:tcPr>
          <w:p w:rsidR="008F715D" w:rsidRPr="009A1045" w:rsidRDefault="008F715D" w:rsidP="002105A0">
            <w:pPr>
              <w:jc w:val="center"/>
              <w:rPr>
                <w:sz w:val="18"/>
                <w:szCs w:val="18"/>
              </w:rPr>
            </w:pPr>
            <w:r w:rsidRPr="009A1045">
              <w:rPr>
                <w:sz w:val="18"/>
                <w:szCs w:val="18"/>
              </w:rPr>
              <w:t>21,1%</w:t>
            </w:r>
          </w:p>
        </w:tc>
        <w:tc>
          <w:tcPr>
            <w:tcW w:w="940" w:type="dxa"/>
            <w:tcBorders>
              <w:top w:val="nil"/>
              <w:left w:val="nil"/>
              <w:bottom w:val="nil"/>
              <w:right w:val="nil"/>
            </w:tcBorders>
            <w:shd w:val="clear" w:color="auto" w:fill="auto"/>
            <w:noWrap/>
            <w:vAlign w:val="bottom"/>
            <w:hideMark/>
          </w:tcPr>
          <w:p w:rsidR="008F715D" w:rsidRPr="009A1045" w:rsidRDefault="008F715D" w:rsidP="002105A0">
            <w:pPr>
              <w:jc w:val="center"/>
              <w:rPr>
                <w:sz w:val="18"/>
                <w:szCs w:val="18"/>
              </w:rPr>
            </w:pPr>
            <w:r w:rsidRPr="009A1045">
              <w:rPr>
                <w:sz w:val="18"/>
                <w:szCs w:val="18"/>
              </w:rPr>
              <w:t>21,0%</w:t>
            </w:r>
          </w:p>
        </w:tc>
        <w:tc>
          <w:tcPr>
            <w:tcW w:w="980" w:type="dxa"/>
            <w:tcBorders>
              <w:top w:val="nil"/>
              <w:left w:val="nil"/>
              <w:bottom w:val="nil"/>
              <w:right w:val="single" w:sz="8" w:space="0" w:color="auto"/>
            </w:tcBorders>
            <w:shd w:val="clear" w:color="auto" w:fill="auto"/>
            <w:noWrap/>
            <w:vAlign w:val="bottom"/>
            <w:hideMark/>
          </w:tcPr>
          <w:p w:rsidR="008F715D" w:rsidRPr="009A1045" w:rsidRDefault="008F715D" w:rsidP="002105A0">
            <w:pPr>
              <w:jc w:val="center"/>
              <w:rPr>
                <w:sz w:val="18"/>
                <w:szCs w:val="18"/>
              </w:rPr>
            </w:pPr>
            <w:r w:rsidRPr="009A1045">
              <w:rPr>
                <w:sz w:val="18"/>
                <w:szCs w:val="18"/>
              </w:rPr>
              <w:t>54,2%</w:t>
            </w:r>
          </w:p>
        </w:tc>
      </w:tr>
      <w:tr w:rsidR="008F715D" w:rsidRPr="00DF172B" w:rsidTr="002105A0">
        <w:trPr>
          <w:trHeight w:val="300"/>
        </w:trPr>
        <w:tc>
          <w:tcPr>
            <w:tcW w:w="3880" w:type="dxa"/>
            <w:tcBorders>
              <w:top w:val="nil"/>
              <w:left w:val="single" w:sz="8" w:space="0" w:color="auto"/>
              <w:bottom w:val="nil"/>
              <w:right w:val="single" w:sz="8" w:space="0" w:color="auto"/>
            </w:tcBorders>
            <w:shd w:val="clear" w:color="auto" w:fill="auto"/>
            <w:noWrap/>
            <w:vAlign w:val="bottom"/>
            <w:hideMark/>
          </w:tcPr>
          <w:p w:rsidR="008F715D" w:rsidRPr="009A1045" w:rsidRDefault="008F715D" w:rsidP="002105A0">
            <w:pPr>
              <w:rPr>
                <w:sz w:val="20"/>
                <w:szCs w:val="20"/>
              </w:rPr>
            </w:pPr>
            <w:r w:rsidRPr="009A1045">
              <w:rPr>
                <w:sz w:val="20"/>
                <w:szCs w:val="20"/>
              </w:rPr>
              <w:t xml:space="preserve">     Créances nettes sur l'Etat</w:t>
            </w:r>
          </w:p>
        </w:tc>
        <w:tc>
          <w:tcPr>
            <w:tcW w:w="940" w:type="dxa"/>
            <w:tcBorders>
              <w:top w:val="nil"/>
              <w:left w:val="single" w:sz="8" w:space="0" w:color="auto"/>
              <w:bottom w:val="nil"/>
              <w:right w:val="nil"/>
            </w:tcBorders>
            <w:shd w:val="clear" w:color="auto" w:fill="auto"/>
            <w:noWrap/>
            <w:vAlign w:val="bottom"/>
            <w:hideMark/>
          </w:tcPr>
          <w:p w:rsidR="008F715D" w:rsidRPr="009A1045" w:rsidRDefault="008F715D" w:rsidP="002105A0">
            <w:pPr>
              <w:jc w:val="center"/>
              <w:rPr>
                <w:color w:val="FF0000"/>
                <w:sz w:val="18"/>
                <w:szCs w:val="18"/>
              </w:rPr>
            </w:pPr>
            <w:r w:rsidRPr="009A1045">
              <w:rPr>
                <w:color w:val="FF0000"/>
                <w:sz w:val="18"/>
                <w:szCs w:val="18"/>
              </w:rPr>
              <w:t>-</w:t>
            </w:r>
          </w:p>
        </w:tc>
        <w:tc>
          <w:tcPr>
            <w:tcW w:w="960" w:type="dxa"/>
            <w:tcBorders>
              <w:top w:val="nil"/>
              <w:left w:val="nil"/>
              <w:bottom w:val="nil"/>
              <w:right w:val="nil"/>
            </w:tcBorders>
            <w:shd w:val="clear" w:color="auto" w:fill="auto"/>
            <w:noWrap/>
            <w:vAlign w:val="bottom"/>
            <w:hideMark/>
          </w:tcPr>
          <w:p w:rsidR="008F715D" w:rsidRPr="009A1045" w:rsidRDefault="008F715D" w:rsidP="002105A0">
            <w:pPr>
              <w:jc w:val="center"/>
              <w:rPr>
                <w:color w:val="FF0000"/>
                <w:sz w:val="18"/>
                <w:szCs w:val="18"/>
              </w:rPr>
            </w:pPr>
            <w:r w:rsidRPr="009A1045">
              <w:rPr>
                <w:color w:val="FF0000"/>
                <w:sz w:val="18"/>
                <w:szCs w:val="18"/>
              </w:rPr>
              <w:t>-</w:t>
            </w:r>
          </w:p>
        </w:tc>
        <w:tc>
          <w:tcPr>
            <w:tcW w:w="1040" w:type="dxa"/>
            <w:tcBorders>
              <w:top w:val="nil"/>
              <w:left w:val="nil"/>
              <w:bottom w:val="nil"/>
              <w:right w:val="nil"/>
            </w:tcBorders>
            <w:shd w:val="clear" w:color="auto" w:fill="auto"/>
            <w:noWrap/>
            <w:vAlign w:val="bottom"/>
            <w:hideMark/>
          </w:tcPr>
          <w:p w:rsidR="008F715D" w:rsidRPr="009A1045" w:rsidRDefault="008F715D" w:rsidP="002105A0">
            <w:pPr>
              <w:jc w:val="center"/>
              <w:rPr>
                <w:color w:val="FF0000"/>
                <w:sz w:val="18"/>
                <w:szCs w:val="18"/>
              </w:rPr>
            </w:pPr>
            <w:r w:rsidRPr="009A1045">
              <w:rPr>
                <w:color w:val="FF0000"/>
                <w:sz w:val="18"/>
                <w:szCs w:val="18"/>
              </w:rPr>
              <w:t>-</w:t>
            </w:r>
          </w:p>
        </w:tc>
        <w:tc>
          <w:tcPr>
            <w:tcW w:w="920" w:type="dxa"/>
            <w:tcBorders>
              <w:top w:val="nil"/>
              <w:left w:val="nil"/>
              <w:bottom w:val="nil"/>
              <w:right w:val="nil"/>
            </w:tcBorders>
            <w:shd w:val="clear" w:color="auto" w:fill="auto"/>
            <w:noWrap/>
            <w:vAlign w:val="bottom"/>
            <w:hideMark/>
          </w:tcPr>
          <w:p w:rsidR="008F715D" w:rsidRPr="009A1045" w:rsidRDefault="008F715D" w:rsidP="002105A0">
            <w:pPr>
              <w:jc w:val="center"/>
              <w:rPr>
                <w:color w:val="FF0000"/>
                <w:sz w:val="18"/>
                <w:szCs w:val="18"/>
              </w:rPr>
            </w:pPr>
            <w:r w:rsidRPr="009A1045">
              <w:rPr>
                <w:color w:val="FF0000"/>
                <w:sz w:val="18"/>
                <w:szCs w:val="18"/>
              </w:rPr>
              <w:t>-</w:t>
            </w:r>
          </w:p>
        </w:tc>
        <w:tc>
          <w:tcPr>
            <w:tcW w:w="940" w:type="dxa"/>
            <w:tcBorders>
              <w:top w:val="nil"/>
              <w:left w:val="nil"/>
              <w:bottom w:val="nil"/>
              <w:right w:val="nil"/>
            </w:tcBorders>
            <w:shd w:val="clear" w:color="auto" w:fill="auto"/>
            <w:noWrap/>
            <w:vAlign w:val="bottom"/>
            <w:hideMark/>
          </w:tcPr>
          <w:p w:rsidR="008F715D" w:rsidRPr="009A1045" w:rsidRDefault="008F715D" w:rsidP="002105A0">
            <w:pPr>
              <w:jc w:val="center"/>
              <w:rPr>
                <w:color w:val="FF0000"/>
                <w:sz w:val="18"/>
                <w:szCs w:val="18"/>
              </w:rPr>
            </w:pPr>
            <w:r w:rsidRPr="009A1045">
              <w:rPr>
                <w:color w:val="FF0000"/>
                <w:sz w:val="18"/>
                <w:szCs w:val="18"/>
              </w:rPr>
              <w:t>-</w:t>
            </w:r>
          </w:p>
        </w:tc>
        <w:tc>
          <w:tcPr>
            <w:tcW w:w="980" w:type="dxa"/>
            <w:tcBorders>
              <w:top w:val="nil"/>
              <w:left w:val="nil"/>
              <w:bottom w:val="nil"/>
              <w:right w:val="single" w:sz="8" w:space="0" w:color="auto"/>
            </w:tcBorders>
            <w:shd w:val="clear" w:color="auto" w:fill="auto"/>
            <w:noWrap/>
            <w:vAlign w:val="bottom"/>
            <w:hideMark/>
          </w:tcPr>
          <w:p w:rsidR="008F715D" w:rsidRPr="009A1045" w:rsidRDefault="008F715D" w:rsidP="002105A0">
            <w:pPr>
              <w:jc w:val="center"/>
              <w:rPr>
                <w:color w:val="FF0000"/>
                <w:sz w:val="18"/>
                <w:szCs w:val="18"/>
              </w:rPr>
            </w:pPr>
            <w:r w:rsidRPr="009A1045">
              <w:rPr>
                <w:color w:val="FF0000"/>
                <w:sz w:val="18"/>
                <w:szCs w:val="18"/>
              </w:rPr>
              <w:t>-</w:t>
            </w:r>
          </w:p>
        </w:tc>
      </w:tr>
      <w:tr w:rsidR="008F715D" w:rsidRPr="00DF172B" w:rsidTr="002105A0">
        <w:trPr>
          <w:trHeight w:val="315"/>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rsidR="008F715D" w:rsidRPr="009A1045" w:rsidRDefault="008F715D" w:rsidP="002105A0">
            <w:pPr>
              <w:rPr>
                <w:sz w:val="20"/>
                <w:szCs w:val="20"/>
              </w:rPr>
            </w:pPr>
            <w:r w:rsidRPr="009A1045">
              <w:rPr>
                <w:sz w:val="20"/>
                <w:szCs w:val="20"/>
              </w:rPr>
              <w:t xml:space="preserve">     Créances sur le reste de l'économie</w:t>
            </w:r>
          </w:p>
        </w:tc>
        <w:tc>
          <w:tcPr>
            <w:tcW w:w="940" w:type="dxa"/>
            <w:tcBorders>
              <w:top w:val="nil"/>
              <w:left w:val="single" w:sz="8" w:space="0" w:color="auto"/>
              <w:bottom w:val="single" w:sz="8" w:space="0" w:color="auto"/>
              <w:right w:val="nil"/>
            </w:tcBorders>
            <w:shd w:val="clear" w:color="auto" w:fill="auto"/>
            <w:noWrap/>
            <w:vAlign w:val="bottom"/>
            <w:hideMark/>
          </w:tcPr>
          <w:p w:rsidR="008F715D" w:rsidRPr="009A1045" w:rsidRDefault="008F715D" w:rsidP="002105A0">
            <w:pPr>
              <w:jc w:val="center"/>
              <w:rPr>
                <w:color w:val="FF0000"/>
                <w:sz w:val="18"/>
                <w:szCs w:val="18"/>
              </w:rPr>
            </w:pPr>
            <w:r w:rsidRPr="009A1045">
              <w:rPr>
                <w:color w:val="FF0000"/>
                <w:sz w:val="18"/>
                <w:szCs w:val="18"/>
              </w:rPr>
              <w:t>-9,6%</w:t>
            </w:r>
          </w:p>
        </w:tc>
        <w:tc>
          <w:tcPr>
            <w:tcW w:w="960" w:type="dxa"/>
            <w:tcBorders>
              <w:top w:val="nil"/>
              <w:left w:val="nil"/>
              <w:bottom w:val="single" w:sz="8" w:space="0" w:color="auto"/>
              <w:right w:val="nil"/>
            </w:tcBorders>
            <w:shd w:val="clear" w:color="auto" w:fill="auto"/>
            <w:noWrap/>
            <w:vAlign w:val="bottom"/>
            <w:hideMark/>
          </w:tcPr>
          <w:p w:rsidR="008F715D" w:rsidRPr="009A1045" w:rsidRDefault="008F715D" w:rsidP="002105A0">
            <w:pPr>
              <w:jc w:val="center"/>
              <w:rPr>
                <w:color w:val="FF0000"/>
                <w:sz w:val="18"/>
                <w:szCs w:val="18"/>
              </w:rPr>
            </w:pPr>
            <w:r w:rsidRPr="009A1045">
              <w:rPr>
                <w:color w:val="FF0000"/>
                <w:sz w:val="18"/>
                <w:szCs w:val="18"/>
              </w:rPr>
              <w:t>-8,2%</w:t>
            </w:r>
          </w:p>
        </w:tc>
        <w:tc>
          <w:tcPr>
            <w:tcW w:w="1040" w:type="dxa"/>
            <w:tcBorders>
              <w:top w:val="nil"/>
              <w:left w:val="nil"/>
              <w:bottom w:val="single" w:sz="8" w:space="0" w:color="auto"/>
              <w:right w:val="nil"/>
            </w:tcBorders>
            <w:shd w:val="clear" w:color="auto" w:fill="auto"/>
            <w:noWrap/>
            <w:vAlign w:val="bottom"/>
            <w:hideMark/>
          </w:tcPr>
          <w:p w:rsidR="008F715D" w:rsidRPr="009A1045" w:rsidRDefault="008F715D" w:rsidP="002105A0">
            <w:pPr>
              <w:jc w:val="center"/>
              <w:rPr>
                <w:color w:val="000000"/>
                <w:sz w:val="18"/>
                <w:szCs w:val="18"/>
              </w:rPr>
            </w:pPr>
            <w:r w:rsidRPr="009A1045">
              <w:rPr>
                <w:color w:val="000000"/>
                <w:sz w:val="18"/>
                <w:szCs w:val="18"/>
              </w:rPr>
              <w:t>-12,2%</w:t>
            </w:r>
          </w:p>
        </w:tc>
        <w:tc>
          <w:tcPr>
            <w:tcW w:w="920" w:type="dxa"/>
            <w:tcBorders>
              <w:top w:val="nil"/>
              <w:left w:val="nil"/>
              <w:bottom w:val="single" w:sz="8" w:space="0" w:color="auto"/>
              <w:right w:val="nil"/>
            </w:tcBorders>
            <w:shd w:val="clear" w:color="auto" w:fill="auto"/>
            <w:noWrap/>
            <w:vAlign w:val="bottom"/>
            <w:hideMark/>
          </w:tcPr>
          <w:p w:rsidR="008F715D" w:rsidRPr="009A1045" w:rsidRDefault="008F715D" w:rsidP="002105A0">
            <w:pPr>
              <w:jc w:val="center"/>
              <w:rPr>
                <w:color w:val="FF0000"/>
                <w:sz w:val="18"/>
                <w:szCs w:val="18"/>
              </w:rPr>
            </w:pPr>
            <w:r w:rsidRPr="009A1045">
              <w:rPr>
                <w:color w:val="FF0000"/>
                <w:sz w:val="18"/>
                <w:szCs w:val="18"/>
              </w:rPr>
              <w:t>-6,6%</w:t>
            </w:r>
          </w:p>
        </w:tc>
        <w:tc>
          <w:tcPr>
            <w:tcW w:w="940" w:type="dxa"/>
            <w:tcBorders>
              <w:top w:val="nil"/>
              <w:left w:val="nil"/>
              <w:bottom w:val="single" w:sz="8" w:space="0" w:color="auto"/>
              <w:right w:val="nil"/>
            </w:tcBorders>
            <w:shd w:val="clear" w:color="auto" w:fill="auto"/>
            <w:noWrap/>
            <w:vAlign w:val="bottom"/>
            <w:hideMark/>
          </w:tcPr>
          <w:p w:rsidR="008F715D" w:rsidRPr="009A1045" w:rsidRDefault="008F715D" w:rsidP="002105A0">
            <w:pPr>
              <w:jc w:val="center"/>
              <w:rPr>
                <w:color w:val="FF0000"/>
                <w:sz w:val="18"/>
                <w:szCs w:val="18"/>
              </w:rPr>
            </w:pPr>
            <w:r w:rsidRPr="009A1045">
              <w:rPr>
                <w:color w:val="FF0000"/>
                <w:sz w:val="18"/>
                <w:szCs w:val="18"/>
              </w:rPr>
              <w:t>-7,6%</w:t>
            </w:r>
          </w:p>
        </w:tc>
        <w:tc>
          <w:tcPr>
            <w:tcW w:w="980" w:type="dxa"/>
            <w:tcBorders>
              <w:top w:val="nil"/>
              <w:left w:val="nil"/>
              <w:bottom w:val="single" w:sz="8" w:space="0" w:color="auto"/>
              <w:right w:val="single" w:sz="8" w:space="0" w:color="auto"/>
            </w:tcBorders>
            <w:shd w:val="clear" w:color="auto" w:fill="auto"/>
            <w:noWrap/>
            <w:vAlign w:val="bottom"/>
            <w:hideMark/>
          </w:tcPr>
          <w:p w:rsidR="008F715D" w:rsidRPr="009A1045" w:rsidRDefault="008F715D" w:rsidP="002105A0">
            <w:pPr>
              <w:jc w:val="center"/>
              <w:rPr>
                <w:color w:val="FF0000"/>
                <w:sz w:val="18"/>
                <w:szCs w:val="18"/>
              </w:rPr>
            </w:pPr>
            <w:r w:rsidRPr="009A1045">
              <w:rPr>
                <w:color w:val="FF0000"/>
                <w:sz w:val="18"/>
                <w:szCs w:val="18"/>
              </w:rPr>
              <w:t>-4,1%</w:t>
            </w:r>
          </w:p>
        </w:tc>
      </w:tr>
    </w:tbl>
    <w:p w:rsidR="008F715D" w:rsidRPr="00A52E27" w:rsidRDefault="008F715D" w:rsidP="008F715D">
      <w:pPr>
        <w:rPr>
          <w:i/>
          <w:sz w:val="18"/>
          <w:szCs w:val="18"/>
        </w:rPr>
      </w:pPr>
      <w:r w:rsidRPr="00A52E27">
        <w:rPr>
          <w:i/>
          <w:sz w:val="18"/>
          <w:szCs w:val="18"/>
          <w:u w:val="single"/>
        </w:rPr>
        <w:t>Source</w:t>
      </w:r>
      <w:r w:rsidRPr="00A52E27">
        <w:rPr>
          <w:i/>
          <w:sz w:val="18"/>
          <w:szCs w:val="18"/>
        </w:rPr>
        <w:t> : Beac</w:t>
      </w:r>
    </w:p>
    <w:p w:rsidR="008F715D" w:rsidRDefault="008F715D" w:rsidP="008F715D"/>
    <w:p w:rsidR="008F715D" w:rsidRDefault="008F715D" w:rsidP="008F715D">
      <w:pPr>
        <w:spacing w:after="200" w:line="276" w:lineRule="auto"/>
      </w:pPr>
      <w:r>
        <w:br w:type="page"/>
      </w:r>
    </w:p>
    <w:p w:rsidR="008F715D" w:rsidRDefault="008F715D" w:rsidP="008F715D"/>
    <w:p w:rsidR="008F715D" w:rsidRPr="00A52E27" w:rsidRDefault="008F715D" w:rsidP="008F715D">
      <w:pPr>
        <w:shd w:val="clear" w:color="auto" w:fill="92CDDC" w:themeFill="accent5" w:themeFillTint="99"/>
        <w:spacing w:after="240"/>
        <w:rPr>
          <w:b/>
          <w:color w:val="0000FF"/>
          <w:sz w:val="28"/>
          <w:szCs w:val="28"/>
        </w:rPr>
      </w:pPr>
      <w:r w:rsidRPr="00A52E27">
        <w:rPr>
          <w:b/>
          <w:color w:val="0000FF"/>
          <w:sz w:val="28"/>
          <w:szCs w:val="28"/>
        </w:rPr>
        <w:t>EQUIPES DE RÉDACTION</w:t>
      </w:r>
    </w:p>
    <w:p w:rsidR="008F715D" w:rsidRPr="00A52E27" w:rsidRDefault="008F715D" w:rsidP="008F715D">
      <w:pPr>
        <w:spacing w:after="120"/>
        <w:rPr>
          <w:b/>
        </w:rPr>
      </w:pPr>
    </w:p>
    <w:p w:rsidR="008F715D" w:rsidRPr="00A52E27" w:rsidRDefault="008F715D" w:rsidP="008F715D">
      <w:pPr>
        <w:spacing w:after="240"/>
        <w:rPr>
          <w:b/>
        </w:rPr>
      </w:pPr>
      <w:r w:rsidRPr="00A52E27">
        <w:rPr>
          <w:b/>
        </w:rPr>
        <w:t>DIRECTION DES PROGRAMMES SECTORIELS (DPS)</w:t>
      </w:r>
    </w:p>
    <w:p w:rsidR="008F715D" w:rsidRPr="00A52E27" w:rsidRDefault="008F715D" w:rsidP="008F715D">
      <w:pPr>
        <w:spacing w:after="240"/>
        <w:contextualSpacing/>
        <w:rPr>
          <w:b/>
          <w:sz w:val="28"/>
          <w:szCs w:val="28"/>
        </w:rPr>
      </w:pPr>
      <w:r w:rsidRPr="00A52E27">
        <w:rPr>
          <w:b/>
          <w:sz w:val="28"/>
          <w:szCs w:val="28"/>
        </w:rPr>
        <w:t>Directeur</w:t>
      </w:r>
    </w:p>
    <w:p w:rsidR="008F715D" w:rsidRPr="00A52E27" w:rsidRDefault="008F715D" w:rsidP="008F715D">
      <w:pPr>
        <w:spacing w:after="240"/>
        <w:contextualSpacing/>
      </w:pPr>
      <w:r w:rsidRPr="00A52E27">
        <w:t>M. Lambert OTO’O NGOUA</w:t>
      </w:r>
    </w:p>
    <w:p w:rsidR="008F715D" w:rsidRPr="00A52E27" w:rsidRDefault="008F715D" w:rsidP="008F715D">
      <w:pPr>
        <w:spacing w:after="240"/>
        <w:contextualSpacing/>
        <w:rPr>
          <w:color w:val="FF0000"/>
          <w:sz w:val="12"/>
          <w:szCs w:val="12"/>
        </w:rPr>
      </w:pPr>
    </w:p>
    <w:p w:rsidR="008F715D" w:rsidRPr="00A52E27" w:rsidRDefault="008F715D" w:rsidP="008F715D">
      <w:pPr>
        <w:spacing w:after="240"/>
        <w:contextualSpacing/>
        <w:rPr>
          <w:b/>
          <w:sz w:val="28"/>
          <w:szCs w:val="28"/>
        </w:rPr>
      </w:pPr>
      <w:r w:rsidRPr="00A52E27">
        <w:rPr>
          <w:b/>
          <w:sz w:val="28"/>
          <w:szCs w:val="28"/>
        </w:rPr>
        <w:t>Directeur Adjoint</w:t>
      </w:r>
    </w:p>
    <w:p w:rsidR="008F715D" w:rsidRPr="00A52E27" w:rsidRDefault="008F715D" w:rsidP="008F715D">
      <w:pPr>
        <w:spacing w:after="240"/>
        <w:contextualSpacing/>
      </w:pPr>
      <w:r w:rsidRPr="00A52E27">
        <w:t>M. Roger MOULOUNGUI</w:t>
      </w:r>
    </w:p>
    <w:p w:rsidR="008F715D" w:rsidRPr="00A52E27" w:rsidRDefault="008F715D" w:rsidP="008F715D">
      <w:pPr>
        <w:spacing w:after="240"/>
        <w:contextualSpacing/>
      </w:pPr>
    </w:p>
    <w:p w:rsidR="008F715D" w:rsidRPr="00A52E27" w:rsidRDefault="008F715D" w:rsidP="008F715D">
      <w:pPr>
        <w:spacing w:after="240"/>
        <w:contextualSpacing/>
        <w:rPr>
          <w:b/>
          <w:sz w:val="28"/>
          <w:szCs w:val="28"/>
        </w:rPr>
      </w:pPr>
      <w:r w:rsidRPr="00A52E27">
        <w:rPr>
          <w:b/>
          <w:sz w:val="28"/>
          <w:szCs w:val="28"/>
        </w:rPr>
        <w:t>Chefs de Service</w:t>
      </w:r>
    </w:p>
    <w:p w:rsidR="008F715D" w:rsidRPr="00A52E27" w:rsidRDefault="008F715D" w:rsidP="008F715D">
      <w:pPr>
        <w:spacing w:after="240"/>
        <w:contextualSpacing/>
        <w:rPr>
          <w:b/>
        </w:rPr>
      </w:pPr>
    </w:p>
    <w:p w:rsidR="008F715D" w:rsidRPr="00A52E27" w:rsidRDefault="008F715D" w:rsidP="008F715D">
      <w:pPr>
        <w:spacing w:after="60"/>
      </w:pPr>
      <w:r w:rsidRPr="00A52E27">
        <w:t>Mme. LEKOGO Annette Clarisse</w:t>
      </w:r>
    </w:p>
    <w:p w:rsidR="008F715D" w:rsidRPr="00A52E27" w:rsidRDefault="008F715D" w:rsidP="008F715D">
      <w:pPr>
        <w:spacing w:after="60"/>
      </w:pPr>
      <w:r w:rsidRPr="00A52E27">
        <w:t>Mme. LEPENGUE Flore Aristide</w:t>
      </w:r>
    </w:p>
    <w:p w:rsidR="008F715D" w:rsidRPr="00A52E27" w:rsidRDefault="008F715D" w:rsidP="008F715D">
      <w:pPr>
        <w:spacing w:after="60"/>
      </w:pPr>
      <w:r w:rsidRPr="00A52E27">
        <w:t>M. LEMAMI Ferdin</w:t>
      </w:r>
    </w:p>
    <w:p w:rsidR="008F715D" w:rsidRPr="00A52E27" w:rsidRDefault="008F715D" w:rsidP="008F715D">
      <w:pPr>
        <w:spacing w:after="240"/>
        <w:contextualSpacing/>
      </w:pPr>
    </w:p>
    <w:p w:rsidR="008F715D" w:rsidRPr="00A52E27" w:rsidRDefault="008F715D" w:rsidP="008F715D">
      <w:pPr>
        <w:spacing w:after="120"/>
        <w:rPr>
          <w:b/>
          <w:sz w:val="28"/>
          <w:szCs w:val="28"/>
        </w:rPr>
      </w:pPr>
      <w:r w:rsidRPr="00A52E27">
        <w:rPr>
          <w:b/>
          <w:sz w:val="28"/>
          <w:szCs w:val="28"/>
        </w:rPr>
        <w:t>Chargés d’Etudes</w:t>
      </w:r>
    </w:p>
    <w:p w:rsidR="008F715D" w:rsidRPr="00A52E27" w:rsidRDefault="008F715D" w:rsidP="008F715D">
      <w:pPr>
        <w:spacing w:after="60"/>
      </w:pPr>
      <w:r w:rsidRPr="00A52E27">
        <w:t>Mme. NDAMANGANA Marie-France</w:t>
      </w:r>
    </w:p>
    <w:p w:rsidR="008F715D" w:rsidRPr="00A52E27" w:rsidRDefault="008F715D" w:rsidP="008F715D">
      <w:pPr>
        <w:spacing w:after="60"/>
      </w:pPr>
      <w:r w:rsidRPr="00A52E27">
        <w:t>Mme. MATSANGA Carla Marlène ép. BOUASSA</w:t>
      </w:r>
    </w:p>
    <w:p w:rsidR="008F715D" w:rsidRPr="00A52E27" w:rsidRDefault="008F715D" w:rsidP="008F715D">
      <w:pPr>
        <w:spacing w:after="60"/>
      </w:pPr>
      <w:r w:rsidRPr="00A52E27">
        <w:t>Mme. OKOUMBA ALILA Hortense</w:t>
      </w:r>
    </w:p>
    <w:p w:rsidR="008F715D" w:rsidRPr="00A52E27" w:rsidRDefault="008F715D" w:rsidP="008F715D">
      <w:pPr>
        <w:spacing w:after="60"/>
      </w:pPr>
      <w:r w:rsidRPr="00A52E27">
        <w:t>Mme. ESSENG MEZUI Chimène</w:t>
      </w:r>
    </w:p>
    <w:p w:rsidR="008F715D" w:rsidRPr="00A52E27" w:rsidRDefault="008F715D" w:rsidP="008F715D">
      <w:pPr>
        <w:spacing w:after="60"/>
      </w:pPr>
      <w:r w:rsidRPr="00A52E27">
        <w:t>Mme. ESSENE OGNANE Sandrine</w:t>
      </w:r>
    </w:p>
    <w:p w:rsidR="008F715D" w:rsidRPr="00A52E27" w:rsidRDefault="008F715D" w:rsidP="008F715D">
      <w:pPr>
        <w:spacing w:after="60"/>
      </w:pPr>
      <w:r w:rsidRPr="00A52E27">
        <w:t>M. MOUPEPE Yves</w:t>
      </w:r>
    </w:p>
    <w:p w:rsidR="008F715D" w:rsidRPr="00A52E27" w:rsidRDefault="008F715D" w:rsidP="008F715D">
      <w:pPr>
        <w:spacing w:after="60"/>
      </w:pPr>
      <w:r w:rsidRPr="00A52E27">
        <w:t>M. MEKAME OSSOUMA Célestin</w:t>
      </w:r>
    </w:p>
    <w:p w:rsidR="008F715D" w:rsidRPr="00A52E27" w:rsidRDefault="008F715D" w:rsidP="008F715D">
      <w:pPr>
        <w:spacing w:after="60"/>
      </w:pPr>
      <w:r w:rsidRPr="00A52E27">
        <w:t>M. OBAME NANG Didier</w:t>
      </w:r>
    </w:p>
    <w:p w:rsidR="008F715D" w:rsidRPr="00A52E27" w:rsidRDefault="008F715D" w:rsidP="008F715D">
      <w:pPr>
        <w:spacing w:after="60"/>
        <w:rPr>
          <w:lang w:val="en-US"/>
        </w:rPr>
      </w:pPr>
      <w:r w:rsidRPr="00A52E27">
        <w:rPr>
          <w:lang w:val="en-US"/>
        </w:rPr>
        <w:t>M. MOUSSAVOU Freddy Thibaud</w:t>
      </w:r>
    </w:p>
    <w:p w:rsidR="008F715D" w:rsidRPr="00A52E27" w:rsidRDefault="008F715D" w:rsidP="008F715D">
      <w:pPr>
        <w:spacing w:after="60"/>
        <w:rPr>
          <w:lang w:val="en-US"/>
        </w:rPr>
      </w:pPr>
      <w:r w:rsidRPr="00A52E27">
        <w:rPr>
          <w:lang w:val="en-US"/>
        </w:rPr>
        <w:t>M. BANGUEBE Aldrin Jules</w:t>
      </w:r>
    </w:p>
    <w:p w:rsidR="008F715D" w:rsidRPr="00A52E27" w:rsidRDefault="008F715D" w:rsidP="008F715D">
      <w:pPr>
        <w:spacing w:after="60"/>
      </w:pPr>
      <w:r w:rsidRPr="00A52E27">
        <w:t>M. BOUPANA Gérald</w:t>
      </w:r>
    </w:p>
    <w:p w:rsidR="008F715D" w:rsidRPr="00A52E27" w:rsidRDefault="008F715D" w:rsidP="008F715D">
      <w:pPr>
        <w:spacing w:after="60"/>
      </w:pPr>
      <w:r w:rsidRPr="00A52E27">
        <w:t>M. ENGANGOYE NKORI Huygens</w:t>
      </w:r>
    </w:p>
    <w:p w:rsidR="008F715D" w:rsidRPr="00A52E27" w:rsidRDefault="008F715D" w:rsidP="008F715D">
      <w:pPr>
        <w:spacing w:after="120"/>
      </w:pPr>
      <w:r w:rsidRPr="00A52E27">
        <w:t>M. EMVO EKORO Jonathan</w:t>
      </w:r>
    </w:p>
    <w:p w:rsidR="008F715D" w:rsidRPr="00A52E27" w:rsidRDefault="008F715D" w:rsidP="008F715D">
      <w:pPr>
        <w:spacing w:after="120"/>
        <w:rPr>
          <w:sz w:val="12"/>
          <w:szCs w:val="12"/>
        </w:rPr>
      </w:pPr>
    </w:p>
    <w:p w:rsidR="008F715D" w:rsidRPr="00A52E27" w:rsidRDefault="008F715D" w:rsidP="008F715D">
      <w:pPr>
        <w:spacing w:after="120"/>
        <w:rPr>
          <w:sz w:val="12"/>
          <w:szCs w:val="12"/>
        </w:rPr>
      </w:pPr>
    </w:p>
    <w:p w:rsidR="008F715D" w:rsidRPr="00A52E27" w:rsidRDefault="008F715D" w:rsidP="008F715D">
      <w:pPr>
        <w:spacing w:after="120"/>
        <w:rPr>
          <w:b/>
        </w:rPr>
      </w:pPr>
      <w:r w:rsidRPr="00A52E27">
        <w:rPr>
          <w:b/>
        </w:rPr>
        <w:t>DIRECTION DE LA PREVISION ET DES ANALYSES ECONOMIQUES (DPAE)</w:t>
      </w:r>
    </w:p>
    <w:p w:rsidR="008F715D" w:rsidRPr="00A52E27" w:rsidRDefault="008F715D" w:rsidP="008F715D">
      <w:pPr>
        <w:spacing w:before="120" w:after="120"/>
        <w:rPr>
          <w:b/>
          <w:sz w:val="28"/>
          <w:szCs w:val="28"/>
        </w:rPr>
      </w:pPr>
      <w:r w:rsidRPr="00A52E27">
        <w:rPr>
          <w:b/>
          <w:sz w:val="28"/>
          <w:szCs w:val="28"/>
        </w:rPr>
        <w:t xml:space="preserve">Directeur </w:t>
      </w:r>
    </w:p>
    <w:p w:rsidR="008F715D" w:rsidRPr="00A52E27" w:rsidRDefault="008F715D" w:rsidP="008F715D">
      <w:pPr>
        <w:spacing w:after="240"/>
        <w:contextualSpacing/>
      </w:pPr>
      <w:r w:rsidRPr="00A52E27">
        <w:t>M. Prosper EBANG EBANG</w:t>
      </w:r>
    </w:p>
    <w:p w:rsidR="008F715D" w:rsidRPr="00A52E27" w:rsidRDefault="008F715D" w:rsidP="008F715D">
      <w:pPr>
        <w:spacing w:after="240"/>
        <w:contextualSpacing/>
        <w:rPr>
          <w:sz w:val="28"/>
          <w:szCs w:val="28"/>
        </w:rPr>
      </w:pPr>
    </w:p>
    <w:p w:rsidR="008F715D" w:rsidRPr="00A52E27" w:rsidRDefault="008F715D" w:rsidP="008F715D">
      <w:pPr>
        <w:spacing w:after="120"/>
        <w:rPr>
          <w:b/>
          <w:sz w:val="28"/>
          <w:szCs w:val="28"/>
        </w:rPr>
      </w:pPr>
      <w:r w:rsidRPr="00A52E27">
        <w:rPr>
          <w:b/>
          <w:sz w:val="28"/>
          <w:szCs w:val="28"/>
        </w:rPr>
        <w:t xml:space="preserve">Directeur Adjoint </w:t>
      </w:r>
    </w:p>
    <w:p w:rsidR="008F715D" w:rsidRPr="00A52E27" w:rsidRDefault="008F715D" w:rsidP="008F715D">
      <w:pPr>
        <w:spacing w:after="240"/>
        <w:contextualSpacing/>
      </w:pPr>
      <w:r w:rsidRPr="00A52E27">
        <w:t xml:space="preserve">M. Valentin MBA MENGUE </w:t>
      </w:r>
    </w:p>
    <w:p w:rsidR="008F715D" w:rsidRPr="00A52E27" w:rsidRDefault="008F715D" w:rsidP="008F715D">
      <w:pPr>
        <w:spacing w:after="240"/>
        <w:contextualSpacing/>
        <w:rPr>
          <w:sz w:val="28"/>
          <w:szCs w:val="28"/>
        </w:rPr>
      </w:pPr>
    </w:p>
    <w:p w:rsidR="008F715D" w:rsidRPr="00A52E27" w:rsidRDefault="008F715D" w:rsidP="008F715D">
      <w:pPr>
        <w:spacing w:after="240"/>
        <w:contextualSpacing/>
        <w:rPr>
          <w:b/>
          <w:sz w:val="28"/>
          <w:szCs w:val="28"/>
        </w:rPr>
      </w:pPr>
      <w:r w:rsidRPr="00A52E27">
        <w:rPr>
          <w:b/>
          <w:sz w:val="28"/>
          <w:szCs w:val="28"/>
        </w:rPr>
        <w:t>Chefs de Service</w:t>
      </w:r>
    </w:p>
    <w:p w:rsidR="008F715D" w:rsidRDefault="008F715D" w:rsidP="008F715D">
      <w:pPr>
        <w:spacing w:after="240"/>
        <w:contextualSpacing/>
      </w:pPr>
    </w:p>
    <w:p w:rsidR="008F715D" w:rsidRDefault="008F715D" w:rsidP="008F715D">
      <w:pPr>
        <w:spacing w:after="240"/>
        <w:contextualSpacing/>
      </w:pPr>
      <w:r w:rsidRPr="00A52E27">
        <w:t>Mme. Lucie NSANNE EMANE</w:t>
      </w:r>
    </w:p>
    <w:p w:rsidR="008F715D" w:rsidRPr="00A52E27" w:rsidRDefault="008F715D" w:rsidP="008F715D">
      <w:pPr>
        <w:spacing w:after="240"/>
        <w:contextualSpacing/>
      </w:pPr>
      <w:r w:rsidRPr="00A52E27">
        <w:lastRenderedPageBreak/>
        <w:t>Mme. Julie NTSAME</w:t>
      </w:r>
    </w:p>
    <w:p w:rsidR="008F715D" w:rsidRPr="00A52E27" w:rsidRDefault="008F715D" w:rsidP="008F715D">
      <w:pPr>
        <w:spacing w:after="240"/>
        <w:contextualSpacing/>
        <w:rPr>
          <w:lang w:val="es-ES"/>
        </w:rPr>
      </w:pPr>
      <w:r w:rsidRPr="00A52E27">
        <w:rPr>
          <w:lang w:val="es-ES"/>
        </w:rPr>
        <w:t>M. Dan Romaric OBOUMADZOGO</w:t>
      </w:r>
    </w:p>
    <w:p w:rsidR="008F715D" w:rsidRPr="00A52E27" w:rsidRDefault="008F715D" w:rsidP="008F715D">
      <w:pPr>
        <w:spacing w:after="240"/>
        <w:contextualSpacing/>
        <w:rPr>
          <w:sz w:val="28"/>
          <w:szCs w:val="28"/>
          <w:lang w:val="es-ES"/>
        </w:rPr>
      </w:pPr>
    </w:p>
    <w:p w:rsidR="008F715D" w:rsidRPr="00A52E27" w:rsidRDefault="008F715D" w:rsidP="008F715D">
      <w:pPr>
        <w:spacing w:after="120"/>
        <w:rPr>
          <w:b/>
          <w:sz w:val="28"/>
          <w:szCs w:val="28"/>
          <w:lang w:val="es-ES"/>
        </w:rPr>
      </w:pPr>
      <w:r w:rsidRPr="00A52E27">
        <w:rPr>
          <w:b/>
          <w:sz w:val="28"/>
          <w:szCs w:val="28"/>
          <w:lang w:val="es-ES"/>
        </w:rPr>
        <w:t>Chargés d’Etudes</w:t>
      </w:r>
    </w:p>
    <w:p w:rsidR="008F715D" w:rsidRPr="00A52E27" w:rsidRDefault="008F715D" w:rsidP="008F715D">
      <w:pPr>
        <w:spacing w:after="240"/>
        <w:contextualSpacing/>
      </w:pPr>
      <w:r w:rsidRPr="00A52E27">
        <w:t xml:space="preserve">Mme. Josiane AVOME NGUEMA </w:t>
      </w:r>
    </w:p>
    <w:p w:rsidR="008F715D" w:rsidRPr="00A52E27" w:rsidRDefault="008F715D" w:rsidP="008F715D">
      <w:pPr>
        <w:spacing w:after="240"/>
        <w:contextualSpacing/>
      </w:pPr>
      <w:r w:rsidRPr="00A52E27">
        <w:t>Mme. Estimée BOUABE NDJALATSIA</w:t>
      </w:r>
    </w:p>
    <w:p w:rsidR="008F715D" w:rsidRPr="00A52E27" w:rsidRDefault="008F715D" w:rsidP="008F715D">
      <w:pPr>
        <w:spacing w:after="240"/>
        <w:contextualSpacing/>
      </w:pPr>
      <w:r w:rsidRPr="00A52E27">
        <w:t xml:space="preserve">Mme. Elzy Yolène BOUYOU </w:t>
      </w:r>
    </w:p>
    <w:p w:rsidR="008F715D" w:rsidRPr="00A52E27" w:rsidRDefault="008F715D" w:rsidP="008F715D">
      <w:pPr>
        <w:spacing w:after="240"/>
        <w:contextualSpacing/>
      </w:pPr>
      <w:r w:rsidRPr="00A52E27">
        <w:t xml:space="preserve">Mme. Anuarite LOUBAKI DIMBOU </w:t>
      </w:r>
    </w:p>
    <w:p w:rsidR="008F715D" w:rsidRPr="00A52E27" w:rsidRDefault="008F715D" w:rsidP="008F715D">
      <w:pPr>
        <w:spacing w:after="240"/>
        <w:contextualSpacing/>
      </w:pPr>
      <w:r w:rsidRPr="00A52E27">
        <w:t xml:space="preserve">Mme. Ariane MOUANDA BABONGUI </w:t>
      </w:r>
    </w:p>
    <w:p w:rsidR="008F715D" w:rsidRPr="005D60E2" w:rsidRDefault="008F715D" w:rsidP="008F715D">
      <w:pPr>
        <w:spacing w:after="240"/>
        <w:contextualSpacing/>
        <w:rPr>
          <w:lang w:val="en-US"/>
        </w:rPr>
      </w:pPr>
      <w:r w:rsidRPr="005D60E2">
        <w:rPr>
          <w:lang w:val="en-US"/>
        </w:rPr>
        <w:t>M. Martial MBA BISSIGHE</w:t>
      </w:r>
    </w:p>
    <w:p w:rsidR="008F715D" w:rsidRPr="005D60E2" w:rsidRDefault="008F715D" w:rsidP="008F715D">
      <w:pPr>
        <w:spacing w:after="240"/>
        <w:contextualSpacing/>
        <w:rPr>
          <w:lang w:val="en-US"/>
        </w:rPr>
      </w:pPr>
      <w:r w:rsidRPr="005D60E2">
        <w:rPr>
          <w:lang w:val="en-US"/>
        </w:rPr>
        <w:t xml:space="preserve">M. Gildas Romaric MATANGOYE </w:t>
      </w:r>
    </w:p>
    <w:p w:rsidR="008F715D" w:rsidRPr="00A52E27" w:rsidRDefault="008F715D" w:rsidP="008F715D">
      <w:pPr>
        <w:spacing w:after="240"/>
        <w:contextualSpacing/>
        <w:rPr>
          <w:lang w:val="en-US"/>
        </w:rPr>
      </w:pPr>
      <w:r w:rsidRPr="00A52E27">
        <w:rPr>
          <w:lang w:val="en-US"/>
        </w:rPr>
        <w:t>M. Raphael MBA N’ NANG</w:t>
      </w:r>
    </w:p>
    <w:p w:rsidR="008F715D" w:rsidRPr="00A52E27" w:rsidRDefault="008F715D" w:rsidP="008F715D">
      <w:pPr>
        <w:spacing w:after="240"/>
        <w:contextualSpacing/>
        <w:rPr>
          <w:lang w:val="en-US"/>
        </w:rPr>
      </w:pPr>
      <w:r w:rsidRPr="00A52E27">
        <w:rPr>
          <w:lang w:val="en-US"/>
        </w:rPr>
        <w:t xml:space="preserve">M. Albain MOKAMBO </w:t>
      </w:r>
    </w:p>
    <w:p w:rsidR="008F715D" w:rsidRPr="00A52E27" w:rsidRDefault="008F715D" w:rsidP="008F715D">
      <w:pPr>
        <w:spacing w:after="240"/>
        <w:contextualSpacing/>
        <w:rPr>
          <w:lang w:val="en-US"/>
        </w:rPr>
      </w:pPr>
      <w:r w:rsidRPr="00A52E27">
        <w:rPr>
          <w:lang w:val="en-US"/>
        </w:rPr>
        <w:t>M. Didier NKOGHE OBAME</w:t>
      </w:r>
    </w:p>
    <w:p w:rsidR="008F715D" w:rsidRPr="00A52E27" w:rsidRDefault="008F715D" w:rsidP="008F715D">
      <w:pPr>
        <w:spacing w:after="240"/>
        <w:contextualSpacing/>
        <w:rPr>
          <w:lang w:val="en-US"/>
        </w:rPr>
      </w:pPr>
      <w:r w:rsidRPr="00A52E27">
        <w:rPr>
          <w:lang w:val="en-US"/>
        </w:rPr>
        <w:t>M. Ike APOUBA LOUSSOU</w:t>
      </w:r>
    </w:p>
    <w:p w:rsidR="008F715D" w:rsidRPr="00A52E27" w:rsidRDefault="008F715D" w:rsidP="008F715D">
      <w:pPr>
        <w:spacing w:after="240"/>
        <w:contextualSpacing/>
        <w:rPr>
          <w:lang w:val="en-US"/>
        </w:rPr>
      </w:pPr>
      <w:r w:rsidRPr="00A52E27">
        <w:rPr>
          <w:lang w:val="en-US"/>
        </w:rPr>
        <w:t>M. Brice YOUOMO</w:t>
      </w:r>
    </w:p>
    <w:p w:rsidR="008F715D" w:rsidRPr="00A52E27" w:rsidRDefault="008F715D" w:rsidP="008F715D">
      <w:pPr>
        <w:spacing w:after="240"/>
        <w:contextualSpacing/>
        <w:rPr>
          <w:lang w:val="en-US"/>
        </w:rPr>
      </w:pPr>
      <w:r w:rsidRPr="00A52E27">
        <w:rPr>
          <w:lang w:val="en-US"/>
        </w:rPr>
        <w:t>M. Euloge Bernadin LENGOUNGA</w:t>
      </w:r>
    </w:p>
    <w:p w:rsidR="008F715D" w:rsidRPr="00A52E27" w:rsidRDefault="008F715D" w:rsidP="008F715D">
      <w:pPr>
        <w:spacing w:after="240"/>
        <w:contextualSpacing/>
        <w:rPr>
          <w:lang w:val="en-US"/>
        </w:rPr>
      </w:pPr>
      <w:r w:rsidRPr="00A52E27">
        <w:rPr>
          <w:lang w:val="en-US"/>
        </w:rPr>
        <w:t xml:space="preserve">M. Noel MAGNAGA </w:t>
      </w:r>
    </w:p>
    <w:p w:rsidR="008F715D" w:rsidRPr="00A52E27" w:rsidRDefault="008F715D" w:rsidP="008F715D">
      <w:pPr>
        <w:spacing w:after="240"/>
        <w:contextualSpacing/>
        <w:rPr>
          <w:lang w:val="en-US"/>
        </w:rPr>
      </w:pPr>
      <w:r w:rsidRPr="00A52E27">
        <w:rPr>
          <w:lang w:val="en-US"/>
        </w:rPr>
        <w:t xml:space="preserve">M. Patrick Patrici NZUE EDOU </w:t>
      </w:r>
    </w:p>
    <w:p w:rsidR="008F715D" w:rsidRPr="00A52E27" w:rsidRDefault="008F715D" w:rsidP="008F715D">
      <w:pPr>
        <w:spacing w:after="120"/>
        <w:rPr>
          <w:sz w:val="12"/>
          <w:szCs w:val="12"/>
          <w:lang w:val="en-US"/>
        </w:rPr>
      </w:pPr>
    </w:p>
    <w:p w:rsidR="008F715D" w:rsidRPr="00A52E27" w:rsidRDefault="008F715D" w:rsidP="008F715D">
      <w:pPr>
        <w:spacing w:after="240"/>
      </w:pPr>
      <w:r w:rsidRPr="00A52E27">
        <w:rPr>
          <w:b/>
        </w:rPr>
        <w:t xml:space="preserve">DIRECTION DES SYNTHESES ET DE LA PROMOTION ECONOMIQUE (DSPE) </w:t>
      </w:r>
    </w:p>
    <w:p w:rsidR="008F715D" w:rsidRPr="00A52E27" w:rsidRDefault="008F715D" w:rsidP="008F715D">
      <w:pPr>
        <w:spacing w:after="120"/>
        <w:contextualSpacing/>
        <w:rPr>
          <w:b/>
          <w:sz w:val="28"/>
          <w:szCs w:val="28"/>
        </w:rPr>
      </w:pPr>
      <w:r w:rsidRPr="00A52E27">
        <w:rPr>
          <w:b/>
          <w:sz w:val="28"/>
          <w:szCs w:val="28"/>
        </w:rPr>
        <w:t>Directeur :</w:t>
      </w:r>
    </w:p>
    <w:p w:rsidR="008F715D" w:rsidRPr="00A52E27" w:rsidRDefault="008F715D" w:rsidP="008F715D">
      <w:pPr>
        <w:spacing w:after="240"/>
        <w:contextualSpacing/>
      </w:pPr>
      <w:r w:rsidRPr="00A52E27">
        <w:t>Mme. Juliette NZIENGUI ép. LOEMBA BAYONNE</w:t>
      </w:r>
    </w:p>
    <w:p w:rsidR="008F715D" w:rsidRPr="00A52E27" w:rsidRDefault="008F715D" w:rsidP="008F715D">
      <w:pPr>
        <w:spacing w:after="240"/>
        <w:contextualSpacing/>
      </w:pPr>
    </w:p>
    <w:p w:rsidR="008F715D" w:rsidRPr="00A52E27" w:rsidRDefault="008F715D" w:rsidP="008F715D">
      <w:pPr>
        <w:spacing w:after="120"/>
        <w:contextualSpacing/>
        <w:rPr>
          <w:b/>
          <w:sz w:val="28"/>
          <w:szCs w:val="28"/>
        </w:rPr>
      </w:pPr>
      <w:r w:rsidRPr="00A52E27">
        <w:rPr>
          <w:b/>
          <w:sz w:val="28"/>
          <w:szCs w:val="28"/>
        </w:rPr>
        <w:t>Directeur Adjoint :</w:t>
      </w:r>
    </w:p>
    <w:p w:rsidR="008F715D" w:rsidRPr="00A52E27" w:rsidRDefault="008F715D" w:rsidP="008F715D">
      <w:pPr>
        <w:spacing w:after="240"/>
        <w:contextualSpacing/>
      </w:pPr>
      <w:r w:rsidRPr="00A52E27">
        <w:t>M. Ghislain ILOUGOU</w:t>
      </w:r>
    </w:p>
    <w:p w:rsidR="008F715D" w:rsidRPr="00A52E27" w:rsidRDefault="008F715D" w:rsidP="008F715D">
      <w:pPr>
        <w:spacing w:after="120"/>
        <w:rPr>
          <w:sz w:val="28"/>
        </w:rPr>
      </w:pPr>
    </w:p>
    <w:p w:rsidR="008F715D" w:rsidRPr="00A52E27" w:rsidRDefault="008F715D" w:rsidP="008F715D">
      <w:pPr>
        <w:spacing w:after="240"/>
        <w:contextualSpacing/>
        <w:rPr>
          <w:b/>
          <w:sz w:val="28"/>
          <w:szCs w:val="28"/>
        </w:rPr>
      </w:pPr>
      <w:r w:rsidRPr="00A52E27">
        <w:rPr>
          <w:b/>
          <w:sz w:val="28"/>
          <w:szCs w:val="28"/>
        </w:rPr>
        <w:t>Chefs de Service</w:t>
      </w:r>
    </w:p>
    <w:p w:rsidR="008F715D" w:rsidRPr="00A52E27" w:rsidRDefault="008F715D" w:rsidP="008F715D">
      <w:pPr>
        <w:spacing w:after="240"/>
        <w:contextualSpacing/>
        <w:rPr>
          <w:b/>
          <w:sz w:val="28"/>
          <w:szCs w:val="28"/>
        </w:rPr>
      </w:pPr>
    </w:p>
    <w:p w:rsidR="008F715D" w:rsidRPr="00A52E27" w:rsidRDefault="008F715D" w:rsidP="008F715D">
      <w:pPr>
        <w:spacing w:after="240"/>
        <w:contextualSpacing/>
      </w:pPr>
      <w:r w:rsidRPr="00A52E27">
        <w:t>M. Patrick Renaud LOEMBA</w:t>
      </w:r>
    </w:p>
    <w:p w:rsidR="008F715D" w:rsidRPr="00A52E27" w:rsidRDefault="008F715D" w:rsidP="008F715D">
      <w:pPr>
        <w:spacing w:after="240"/>
        <w:contextualSpacing/>
      </w:pPr>
      <w:r w:rsidRPr="00A52E27">
        <w:t xml:space="preserve">M. Pierre Dieudonné THATY </w:t>
      </w:r>
    </w:p>
    <w:p w:rsidR="008F715D" w:rsidRPr="00A52E27" w:rsidRDefault="008F715D" w:rsidP="008F715D">
      <w:pPr>
        <w:spacing w:after="240"/>
        <w:contextualSpacing/>
      </w:pPr>
      <w:r w:rsidRPr="00A52E27">
        <w:t>Mme. Huguette LEMAMI ALISSAGA ép. NGUIA BANDA</w:t>
      </w:r>
    </w:p>
    <w:p w:rsidR="008F715D" w:rsidRPr="00A52E27" w:rsidRDefault="008F715D" w:rsidP="008F715D">
      <w:pPr>
        <w:spacing w:after="120"/>
        <w:rPr>
          <w:sz w:val="28"/>
        </w:rPr>
      </w:pPr>
    </w:p>
    <w:p w:rsidR="008F715D" w:rsidRPr="00A52E27" w:rsidRDefault="008F715D" w:rsidP="008F715D">
      <w:pPr>
        <w:spacing w:after="120"/>
        <w:contextualSpacing/>
        <w:rPr>
          <w:b/>
          <w:sz w:val="28"/>
          <w:szCs w:val="28"/>
        </w:rPr>
      </w:pPr>
      <w:r w:rsidRPr="00A52E27">
        <w:rPr>
          <w:b/>
          <w:sz w:val="28"/>
          <w:szCs w:val="28"/>
        </w:rPr>
        <w:t>Chargés d’Etudes</w:t>
      </w:r>
    </w:p>
    <w:p w:rsidR="008F715D" w:rsidRPr="00A52E27" w:rsidRDefault="008F715D" w:rsidP="008F715D">
      <w:pPr>
        <w:spacing w:after="120"/>
        <w:contextualSpacing/>
        <w:rPr>
          <w:b/>
          <w:sz w:val="28"/>
          <w:szCs w:val="28"/>
        </w:rPr>
      </w:pPr>
    </w:p>
    <w:p w:rsidR="008F715D" w:rsidRPr="00A52E27" w:rsidRDefault="008F715D" w:rsidP="008F715D">
      <w:pPr>
        <w:spacing w:after="240"/>
        <w:contextualSpacing/>
      </w:pPr>
      <w:r w:rsidRPr="00A52E27">
        <w:t>M. Kevin BOUNGOUNGOU</w:t>
      </w:r>
    </w:p>
    <w:p w:rsidR="008F715D" w:rsidRPr="00A52E27" w:rsidRDefault="008F715D" w:rsidP="008F715D">
      <w:pPr>
        <w:spacing w:after="240"/>
        <w:contextualSpacing/>
      </w:pPr>
      <w:r w:rsidRPr="00A52E27">
        <w:t>Mme. Marie Irène IBOMBO</w:t>
      </w:r>
    </w:p>
    <w:p w:rsidR="008F715D" w:rsidRPr="00A52E27" w:rsidRDefault="008F715D" w:rsidP="008F715D">
      <w:pPr>
        <w:spacing w:after="240"/>
        <w:contextualSpacing/>
      </w:pPr>
      <w:r w:rsidRPr="00A52E27">
        <w:t>Mme. Pauline LEMBOUMBA NGOUNDA</w:t>
      </w:r>
    </w:p>
    <w:p w:rsidR="008F715D" w:rsidRPr="00A52E27" w:rsidRDefault="008F715D" w:rsidP="008F715D">
      <w:pPr>
        <w:spacing w:after="120"/>
      </w:pPr>
    </w:p>
    <w:p w:rsidR="008F715D" w:rsidRPr="00A52E27" w:rsidRDefault="008F715D" w:rsidP="008F715D">
      <w:pPr>
        <w:spacing w:after="240"/>
        <w:rPr>
          <w:b/>
        </w:rPr>
      </w:pPr>
      <w:r w:rsidRPr="00A52E27">
        <w:rPr>
          <w:b/>
        </w:rPr>
        <w:t>DIRECTION DES INSTITUTIONS FINANCIERES (DIF)</w:t>
      </w:r>
    </w:p>
    <w:p w:rsidR="008F715D" w:rsidRPr="00A52E27" w:rsidRDefault="008F715D" w:rsidP="008F715D">
      <w:pPr>
        <w:spacing w:after="240"/>
        <w:contextualSpacing/>
        <w:rPr>
          <w:b/>
          <w:sz w:val="28"/>
          <w:szCs w:val="28"/>
        </w:rPr>
      </w:pPr>
      <w:r w:rsidRPr="00A52E27">
        <w:rPr>
          <w:b/>
          <w:sz w:val="28"/>
          <w:szCs w:val="28"/>
        </w:rPr>
        <w:t>Directeur</w:t>
      </w:r>
    </w:p>
    <w:p w:rsidR="008F715D" w:rsidRPr="00A52E27" w:rsidRDefault="008F715D" w:rsidP="008F715D">
      <w:pPr>
        <w:spacing w:after="240"/>
        <w:contextualSpacing/>
      </w:pPr>
      <w:r w:rsidRPr="00A52E27">
        <w:t>M. Anicet OGANDAGA</w:t>
      </w:r>
    </w:p>
    <w:p w:rsidR="008F715D" w:rsidRPr="00A52E27" w:rsidRDefault="008F715D" w:rsidP="008F715D">
      <w:pPr>
        <w:spacing w:after="240"/>
        <w:contextualSpacing/>
      </w:pPr>
    </w:p>
    <w:p w:rsidR="008F715D" w:rsidRPr="00A52E27" w:rsidRDefault="008F715D" w:rsidP="008F715D">
      <w:pPr>
        <w:spacing w:after="240"/>
        <w:contextualSpacing/>
        <w:rPr>
          <w:b/>
          <w:sz w:val="28"/>
          <w:szCs w:val="28"/>
        </w:rPr>
      </w:pPr>
      <w:r w:rsidRPr="00A52E27">
        <w:rPr>
          <w:b/>
          <w:sz w:val="28"/>
          <w:szCs w:val="28"/>
        </w:rPr>
        <w:t>Directeur adjoint</w:t>
      </w:r>
    </w:p>
    <w:p w:rsidR="008F715D" w:rsidRPr="00A52E27" w:rsidRDefault="008F715D" w:rsidP="008F715D">
      <w:pPr>
        <w:spacing w:after="240"/>
        <w:contextualSpacing/>
      </w:pPr>
      <w:r w:rsidRPr="00A52E27">
        <w:t xml:space="preserve">M. Jean Justin NANG ONDO </w:t>
      </w:r>
    </w:p>
    <w:p w:rsidR="008F715D" w:rsidRPr="00A52E27" w:rsidRDefault="008F715D" w:rsidP="008F715D">
      <w:pPr>
        <w:spacing w:after="240"/>
        <w:contextualSpacing/>
        <w:rPr>
          <w:b/>
          <w:sz w:val="28"/>
          <w:szCs w:val="28"/>
        </w:rPr>
      </w:pPr>
    </w:p>
    <w:p w:rsidR="008F715D" w:rsidRPr="00A52E27" w:rsidRDefault="008F715D" w:rsidP="008F715D">
      <w:pPr>
        <w:spacing w:after="240"/>
        <w:contextualSpacing/>
        <w:rPr>
          <w:b/>
          <w:sz w:val="28"/>
          <w:szCs w:val="28"/>
        </w:rPr>
      </w:pPr>
      <w:r w:rsidRPr="00A52E27">
        <w:rPr>
          <w:b/>
          <w:sz w:val="28"/>
          <w:szCs w:val="28"/>
        </w:rPr>
        <w:t>Chefs de Service</w:t>
      </w:r>
    </w:p>
    <w:p w:rsidR="008F715D" w:rsidRPr="00A52E27" w:rsidRDefault="008F715D" w:rsidP="008F715D">
      <w:pPr>
        <w:spacing w:after="240"/>
        <w:contextualSpacing/>
        <w:rPr>
          <w:b/>
          <w:sz w:val="28"/>
          <w:szCs w:val="28"/>
        </w:rPr>
      </w:pPr>
    </w:p>
    <w:p w:rsidR="008F715D" w:rsidRPr="00A52E27" w:rsidRDefault="008F715D" w:rsidP="008F715D">
      <w:pPr>
        <w:spacing w:after="240"/>
        <w:contextualSpacing/>
      </w:pPr>
      <w:r w:rsidRPr="00A52E27">
        <w:t xml:space="preserve">Mme. Cécile MAGANGA NZIENGUI </w:t>
      </w:r>
    </w:p>
    <w:p w:rsidR="008F715D" w:rsidRPr="00A52E27" w:rsidRDefault="008F715D" w:rsidP="008F715D">
      <w:pPr>
        <w:spacing w:after="240"/>
        <w:contextualSpacing/>
        <w:rPr>
          <w:b/>
          <w:sz w:val="28"/>
          <w:szCs w:val="28"/>
        </w:rPr>
      </w:pPr>
      <w:r w:rsidRPr="00A52E27">
        <w:t>M. Christophe LEKOUGHA OYOUOMI</w:t>
      </w:r>
    </w:p>
    <w:p w:rsidR="008F715D" w:rsidRPr="00A52E27" w:rsidRDefault="008F715D" w:rsidP="008F715D">
      <w:pPr>
        <w:spacing w:after="240"/>
        <w:contextualSpacing/>
        <w:rPr>
          <w:b/>
          <w:sz w:val="28"/>
          <w:szCs w:val="28"/>
        </w:rPr>
      </w:pPr>
    </w:p>
    <w:p w:rsidR="008F715D" w:rsidRPr="00A52E27" w:rsidRDefault="008F715D" w:rsidP="008F715D">
      <w:pPr>
        <w:spacing w:after="240"/>
        <w:contextualSpacing/>
        <w:rPr>
          <w:b/>
          <w:sz w:val="28"/>
          <w:szCs w:val="28"/>
        </w:rPr>
      </w:pPr>
      <w:r w:rsidRPr="00A52E27">
        <w:rPr>
          <w:b/>
          <w:sz w:val="28"/>
          <w:szCs w:val="28"/>
        </w:rPr>
        <w:t xml:space="preserve">Chargés d’Etudes </w:t>
      </w:r>
    </w:p>
    <w:p w:rsidR="008F715D" w:rsidRPr="00A52E27" w:rsidRDefault="008F715D" w:rsidP="008F715D">
      <w:pPr>
        <w:spacing w:after="240"/>
        <w:contextualSpacing/>
      </w:pPr>
    </w:p>
    <w:p w:rsidR="008F715D" w:rsidRPr="00A52E27" w:rsidRDefault="008F715D" w:rsidP="008F715D">
      <w:pPr>
        <w:spacing w:after="240"/>
        <w:contextualSpacing/>
        <w:rPr>
          <w:lang w:val="en-US"/>
        </w:rPr>
      </w:pPr>
      <w:r w:rsidRPr="00A52E27">
        <w:t xml:space="preserve">Mme. NZIENGUI BOUANZA ép. </w:t>
      </w:r>
      <w:r w:rsidRPr="00A52E27">
        <w:rPr>
          <w:lang w:val="en-US"/>
        </w:rPr>
        <w:t>KEDI ONGODA</w:t>
      </w:r>
    </w:p>
    <w:p w:rsidR="008F715D" w:rsidRPr="005D60E2" w:rsidRDefault="008F715D" w:rsidP="008F715D">
      <w:pPr>
        <w:spacing w:after="240"/>
        <w:contextualSpacing/>
        <w:rPr>
          <w:lang w:val="en-US"/>
        </w:rPr>
      </w:pPr>
      <w:r w:rsidRPr="005D60E2">
        <w:rPr>
          <w:lang w:val="en-US"/>
        </w:rPr>
        <w:t xml:space="preserve">Mme. Shirley Nolita TSONO OPHOU </w:t>
      </w:r>
    </w:p>
    <w:p w:rsidR="008F715D" w:rsidRPr="005D60E2" w:rsidRDefault="008F715D" w:rsidP="008F715D">
      <w:pPr>
        <w:spacing w:after="240"/>
        <w:contextualSpacing/>
        <w:rPr>
          <w:lang w:val="en-US"/>
        </w:rPr>
      </w:pPr>
      <w:r w:rsidRPr="005D60E2">
        <w:rPr>
          <w:lang w:val="en-US"/>
        </w:rPr>
        <w:t>Mme. LEYAMBA ODJIARI Praxède</w:t>
      </w:r>
    </w:p>
    <w:p w:rsidR="008F715D" w:rsidRPr="00A52E27" w:rsidRDefault="008F715D" w:rsidP="008F715D">
      <w:pPr>
        <w:spacing w:after="240"/>
        <w:contextualSpacing/>
        <w:rPr>
          <w:lang w:val="en-US"/>
        </w:rPr>
      </w:pPr>
      <w:r w:rsidRPr="00A52E27">
        <w:rPr>
          <w:lang w:val="en-US"/>
        </w:rPr>
        <w:t xml:space="preserve">M. Wilfried ALLOGHE EYEGHE </w:t>
      </w:r>
    </w:p>
    <w:p w:rsidR="008F715D" w:rsidRPr="005D60E2" w:rsidRDefault="008F715D" w:rsidP="008F715D">
      <w:pPr>
        <w:spacing w:after="240"/>
        <w:contextualSpacing/>
      </w:pPr>
      <w:r w:rsidRPr="005D60E2">
        <w:t xml:space="preserve">M. Guy de Luxe BONGO BOETOUMBA </w:t>
      </w:r>
    </w:p>
    <w:p w:rsidR="008F715D" w:rsidRPr="00A52E27" w:rsidRDefault="008F715D" w:rsidP="008F715D">
      <w:pPr>
        <w:spacing w:after="240"/>
        <w:contextualSpacing/>
      </w:pPr>
      <w:r w:rsidRPr="00A52E27">
        <w:t xml:space="preserve">M. Jean de Dieu MOUSSODOU </w:t>
      </w:r>
    </w:p>
    <w:p w:rsidR="008F715D" w:rsidRPr="00A52E27" w:rsidRDefault="008F715D" w:rsidP="008F715D">
      <w:pPr>
        <w:spacing w:after="240"/>
        <w:contextualSpacing/>
        <w:rPr>
          <w:lang w:val="es-ES"/>
        </w:rPr>
      </w:pPr>
      <w:r w:rsidRPr="00A52E27">
        <w:rPr>
          <w:lang w:val="es-ES"/>
        </w:rPr>
        <w:t xml:space="preserve">M. Aymard NGOUA ONA </w:t>
      </w:r>
    </w:p>
    <w:p w:rsidR="008F715D" w:rsidRPr="00A52E27" w:rsidRDefault="008F715D" w:rsidP="008F715D">
      <w:pPr>
        <w:spacing w:after="240"/>
        <w:contextualSpacing/>
        <w:rPr>
          <w:lang w:val="en-US"/>
        </w:rPr>
      </w:pPr>
      <w:r w:rsidRPr="00A52E27">
        <w:rPr>
          <w:lang w:val="en-US"/>
        </w:rPr>
        <w:t>M. OBANDJI Guy Ulrich</w:t>
      </w:r>
    </w:p>
    <w:p w:rsidR="008F715D" w:rsidRPr="00A52E27" w:rsidRDefault="008F715D" w:rsidP="008F715D">
      <w:pPr>
        <w:spacing w:after="240"/>
        <w:contextualSpacing/>
        <w:rPr>
          <w:lang w:val="en-US"/>
        </w:rPr>
      </w:pPr>
      <w:r w:rsidRPr="00A52E27">
        <w:rPr>
          <w:lang w:val="en-US"/>
        </w:rPr>
        <w:t>M. Florent MANEMBE</w:t>
      </w:r>
    </w:p>
    <w:p w:rsidR="008F715D" w:rsidRPr="00A52E27" w:rsidRDefault="008F715D" w:rsidP="008F715D">
      <w:pPr>
        <w:spacing w:after="240"/>
        <w:contextualSpacing/>
        <w:rPr>
          <w:lang w:val="en-US"/>
        </w:rPr>
      </w:pPr>
    </w:p>
    <w:p w:rsidR="008F715D" w:rsidRPr="00A52E27" w:rsidRDefault="008F715D" w:rsidP="008F715D">
      <w:pPr>
        <w:spacing w:after="240"/>
        <w:contextualSpacing/>
        <w:rPr>
          <w:b/>
          <w:sz w:val="28"/>
          <w:szCs w:val="28"/>
        </w:rPr>
      </w:pPr>
      <w:r w:rsidRPr="00A52E27">
        <w:rPr>
          <w:b/>
          <w:sz w:val="28"/>
          <w:szCs w:val="28"/>
        </w:rPr>
        <w:t>C</w:t>
      </w:r>
      <w:r w:rsidRPr="00A52E27">
        <w:rPr>
          <w:b/>
        </w:rPr>
        <w:t>ELLULE MICROFINANCE</w:t>
      </w:r>
    </w:p>
    <w:p w:rsidR="008F715D" w:rsidRPr="00A52E27" w:rsidRDefault="008F715D" w:rsidP="008F715D">
      <w:pPr>
        <w:spacing w:after="240"/>
        <w:contextualSpacing/>
        <w:rPr>
          <w:sz w:val="28"/>
          <w:szCs w:val="28"/>
        </w:rPr>
      </w:pPr>
    </w:p>
    <w:p w:rsidR="008F715D" w:rsidRPr="00A52E27" w:rsidRDefault="008F715D" w:rsidP="008F715D">
      <w:pPr>
        <w:spacing w:after="240"/>
        <w:contextualSpacing/>
        <w:rPr>
          <w:b/>
          <w:sz w:val="28"/>
          <w:szCs w:val="28"/>
        </w:rPr>
      </w:pPr>
      <w:r w:rsidRPr="00A52E27">
        <w:rPr>
          <w:b/>
          <w:sz w:val="28"/>
          <w:szCs w:val="28"/>
        </w:rPr>
        <w:t xml:space="preserve">Chefs de Service: </w:t>
      </w:r>
    </w:p>
    <w:p w:rsidR="008F715D" w:rsidRPr="00A52E27" w:rsidRDefault="008F715D" w:rsidP="008F715D">
      <w:pPr>
        <w:spacing w:after="240"/>
        <w:contextualSpacing/>
        <w:rPr>
          <w:sz w:val="28"/>
          <w:szCs w:val="28"/>
        </w:rPr>
      </w:pPr>
    </w:p>
    <w:p w:rsidR="008F715D" w:rsidRPr="00A52E27" w:rsidRDefault="008F715D" w:rsidP="008F715D">
      <w:pPr>
        <w:spacing w:after="240"/>
        <w:contextualSpacing/>
      </w:pPr>
      <w:r w:rsidRPr="00A52E27">
        <w:t>Mme. Raïssa NTSAME DZIGHE</w:t>
      </w:r>
    </w:p>
    <w:p w:rsidR="008F715D" w:rsidRPr="00A52E27" w:rsidRDefault="008F715D" w:rsidP="008F715D">
      <w:pPr>
        <w:spacing w:after="240"/>
        <w:contextualSpacing/>
        <w:rPr>
          <w:sz w:val="28"/>
          <w:szCs w:val="28"/>
        </w:rPr>
      </w:pPr>
    </w:p>
    <w:p w:rsidR="008F715D" w:rsidRPr="00A52E27" w:rsidRDefault="008F715D" w:rsidP="008F715D">
      <w:pPr>
        <w:spacing w:after="120"/>
        <w:contextualSpacing/>
        <w:rPr>
          <w:b/>
          <w:sz w:val="28"/>
          <w:szCs w:val="28"/>
        </w:rPr>
      </w:pPr>
      <w:r w:rsidRPr="00A52E27">
        <w:rPr>
          <w:b/>
          <w:sz w:val="28"/>
          <w:szCs w:val="28"/>
        </w:rPr>
        <w:t>Chargés d’Etudes</w:t>
      </w:r>
    </w:p>
    <w:p w:rsidR="008F715D" w:rsidRPr="00A52E27" w:rsidRDefault="008F715D" w:rsidP="008F715D">
      <w:pPr>
        <w:spacing w:after="240"/>
        <w:contextualSpacing/>
      </w:pPr>
    </w:p>
    <w:p w:rsidR="008F715D" w:rsidRPr="00A52E27" w:rsidRDefault="008F715D" w:rsidP="008F715D">
      <w:pPr>
        <w:spacing w:after="240"/>
        <w:contextualSpacing/>
      </w:pPr>
      <w:r w:rsidRPr="00A52E27">
        <w:t>M. Béchir MAHAMAT LEBOUBA</w:t>
      </w:r>
    </w:p>
    <w:p w:rsidR="008F715D" w:rsidRPr="00A52E27" w:rsidRDefault="008F715D" w:rsidP="008F715D">
      <w:pPr>
        <w:spacing w:after="240"/>
        <w:contextualSpacing/>
      </w:pPr>
      <w:r w:rsidRPr="00A52E27">
        <w:t>M.LIPOCKO MOMBO</w:t>
      </w:r>
    </w:p>
    <w:p w:rsidR="008F715D" w:rsidRPr="00BA203E" w:rsidRDefault="008F715D" w:rsidP="008F715D"/>
    <w:p w:rsidR="00F838E4" w:rsidRDefault="00F838E4"/>
    <w:sectPr w:rsidR="00F838E4" w:rsidSect="00140BCD">
      <w:footerReference w:type="default" r:id="rId1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71398"/>
      <w:docPartObj>
        <w:docPartGallery w:val="Page Numbers (Bottom of Page)"/>
        <w:docPartUnique/>
      </w:docPartObj>
    </w:sdtPr>
    <w:sdtEndPr/>
    <w:sdtContent>
      <w:p w:rsidR="00BF4A2C" w:rsidRDefault="00E13D9E">
        <w:pPr>
          <w:pStyle w:val="Pieddepage"/>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2049" type="#_x0000_t65" style="position:absolute;margin-left:0;margin-top:0;width:29pt;height:21.6pt;z-index:251658240;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DJTg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" o:allowincell="f" adj="14135" strokecolor="gray [1629]" strokeweight=".25pt">
              <v:textbox>
                <w:txbxContent>
                  <w:p w:rsidR="00BF4A2C" w:rsidRDefault="00E13D9E">
                    <w:pPr>
                      <w:jc w:val="center"/>
                    </w:pPr>
                    <w:r w:rsidRPr="001925BD">
                      <w:fldChar w:fldCharType="begin"/>
                    </w:r>
                    <w:r>
                      <w:instrText xml:space="preserve"> PAGE    \* MERGEFORMAT </w:instrText>
                    </w:r>
                    <w:r w:rsidRPr="001925BD">
                      <w:fldChar w:fldCharType="separate"/>
                    </w:r>
                    <w:r w:rsidR="008F715D" w:rsidRPr="008F715D">
                      <w:rPr>
                        <w:noProof/>
                        <w:sz w:val="16"/>
                        <w:szCs w:val="16"/>
                      </w:rPr>
                      <w:t>1</w:t>
                    </w:r>
                    <w:r>
                      <w:rPr>
                        <w:noProof/>
                        <w:sz w:val="16"/>
                        <w:szCs w:val="16"/>
                      </w:rPr>
                      <w:fldChar w:fldCharType="end"/>
                    </w:r>
                  </w:p>
                </w:txbxContent>
              </v:textbox>
              <w10:wrap anchorx="margin" anchory="margin"/>
            </v:shape>
          </w:pict>
        </w:r>
      </w:p>
    </w:sdtContent>
  </w:sdt>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C25A1"/>
    <w:multiLevelType w:val="hybridMultilevel"/>
    <w:tmpl w:val="77902F50"/>
    <w:lvl w:ilvl="0" w:tplc="040C0013">
      <w:start w:val="1"/>
      <w:numFmt w:val="upperRoman"/>
      <w:lvlText w:val="%1."/>
      <w:lvlJc w:val="right"/>
      <w:pPr>
        <w:ind w:left="2148" w:hanging="360"/>
      </w:p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1">
    <w:nsid w:val="264B4BCE"/>
    <w:multiLevelType w:val="hybridMultilevel"/>
    <w:tmpl w:val="06E0372C"/>
    <w:lvl w:ilvl="0" w:tplc="4C7ECF8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E3826AD"/>
    <w:multiLevelType w:val="hybridMultilevel"/>
    <w:tmpl w:val="E16219C8"/>
    <w:lvl w:ilvl="0" w:tplc="3E803DA6">
      <w:start w:val="1"/>
      <w:numFmt w:val="decimal"/>
      <w:lvlText w:val="(%1)"/>
      <w:lvlJc w:val="left"/>
      <w:pPr>
        <w:ind w:left="720" w:hanging="360"/>
      </w:pPr>
      <w:rPr>
        <w:rFonts w:ascii="Garamond" w:hAnsi="Garamond" w:hint="default"/>
        <w:color w:val="000000"/>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F8812A4"/>
    <w:multiLevelType w:val="hybridMultilevel"/>
    <w:tmpl w:val="8C0C0950"/>
    <w:lvl w:ilvl="0" w:tplc="3E803DA6">
      <w:start w:val="1"/>
      <w:numFmt w:val="decimal"/>
      <w:lvlText w:val="(%1)"/>
      <w:lvlJc w:val="left"/>
      <w:pPr>
        <w:ind w:left="644" w:hanging="360"/>
      </w:pPr>
      <w:rPr>
        <w:rFonts w:ascii="Garamond" w:hAnsi="Garamond" w:hint="default"/>
        <w:color w:val="000000"/>
        <w:sz w:val="26"/>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nsid w:val="43D46313"/>
    <w:multiLevelType w:val="hybridMultilevel"/>
    <w:tmpl w:val="59F81B22"/>
    <w:lvl w:ilvl="0" w:tplc="EC0C2DF4">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560373C"/>
    <w:multiLevelType w:val="hybridMultilevel"/>
    <w:tmpl w:val="8C0C0950"/>
    <w:lvl w:ilvl="0" w:tplc="3E803DA6">
      <w:start w:val="1"/>
      <w:numFmt w:val="decimal"/>
      <w:lvlText w:val="(%1)"/>
      <w:lvlJc w:val="left"/>
      <w:pPr>
        <w:ind w:left="644" w:hanging="360"/>
      </w:pPr>
      <w:rPr>
        <w:rFonts w:ascii="Garamond" w:hAnsi="Garamond" w:hint="default"/>
        <w:color w:val="000000"/>
        <w:sz w:val="26"/>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o:shapelayout v:ext="edit">
      <o:idmap v:ext="edit" data="2"/>
    </o:shapelayout>
  </w:hdrShapeDefaults>
  <w:compat/>
  <w:rsids>
    <w:rsidRoot w:val="008F715D"/>
    <w:rsid w:val="008F715D"/>
    <w:rsid w:val="00E13D9E"/>
    <w:rsid w:val="00F838E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15D"/>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8F715D"/>
    <w:pPr>
      <w:keepNext/>
      <w:outlineLvl w:val="0"/>
    </w:pPr>
    <w:rPr>
      <w:b/>
      <w:bCs/>
      <w:sz w:val="28"/>
    </w:rPr>
  </w:style>
  <w:style w:type="paragraph" w:styleId="Titre2">
    <w:name w:val="heading 2"/>
    <w:basedOn w:val="Normal"/>
    <w:next w:val="Normal"/>
    <w:link w:val="Titre2Car"/>
    <w:qFormat/>
    <w:rsid w:val="008F715D"/>
    <w:pPr>
      <w:keepNext/>
      <w:jc w:val="both"/>
      <w:outlineLvl w:val="1"/>
    </w:pPr>
    <w:rPr>
      <w:i/>
      <w:iCs/>
      <w:sz w:val="28"/>
    </w:rPr>
  </w:style>
  <w:style w:type="paragraph" w:styleId="Titre3">
    <w:name w:val="heading 3"/>
    <w:basedOn w:val="Normal"/>
    <w:next w:val="Normal"/>
    <w:link w:val="Titre3Car"/>
    <w:qFormat/>
    <w:rsid w:val="008F715D"/>
    <w:pPr>
      <w:keepNext/>
      <w:ind w:right="527" w:firstLine="708"/>
      <w:jc w:val="both"/>
      <w:outlineLvl w:val="2"/>
    </w:pPr>
    <w:rPr>
      <w:sz w:val="28"/>
    </w:rPr>
  </w:style>
  <w:style w:type="paragraph" w:styleId="Titre4">
    <w:name w:val="heading 4"/>
    <w:basedOn w:val="Normal"/>
    <w:next w:val="Normal"/>
    <w:link w:val="Titre4Car"/>
    <w:qFormat/>
    <w:rsid w:val="008F715D"/>
    <w:pPr>
      <w:keepNext/>
      <w:ind w:right="527"/>
      <w:jc w:val="both"/>
      <w:outlineLvl w:val="3"/>
    </w:pPr>
    <w:rPr>
      <w:b/>
      <w:bCs/>
      <w:i/>
      <w:iCs/>
      <w:sz w:val="28"/>
    </w:rPr>
  </w:style>
  <w:style w:type="paragraph" w:styleId="Titre5">
    <w:name w:val="heading 5"/>
    <w:basedOn w:val="Normal"/>
    <w:next w:val="Normal"/>
    <w:link w:val="Titre5Car"/>
    <w:qFormat/>
    <w:rsid w:val="008F715D"/>
    <w:pPr>
      <w:keepNext/>
      <w:ind w:right="527"/>
      <w:jc w:val="both"/>
      <w:outlineLvl w:val="4"/>
    </w:pPr>
    <w:rPr>
      <w:i/>
      <w:iCs/>
      <w:sz w:val="28"/>
    </w:rPr>
  </w:style>
  <w:style w:type="paragraph" w:styleId="Titre6">
    <w:name w:val="heading 6"/>
    <w:basedOn w:val="Normal"/>
    <w:next w:val="Normal"/>
    <w:link w:val="Titre6Car"/>
    <w:qFormat/>
    <w:rsid w:val="008F715D"/>
    <w:pPr>
      <w:spacing w:before="240" w:after="60"/>
      <w:outlineLvl w:val="5"/>
    </w:pPr>
    <w:rPr>
      <w:b/>
      <w:bCs/>
      <w:sz w:val="22"/>
      <w:szCs w:val="22"/>
    </w:rPr>
  </w:style>
  <w:style w:type="paragraph" w:styleId="Titre7">
    <w:name w:val="heading 7"/>
    <w:basedOn w:val="Normal"/>
    <w:next w:val="Normal"/>
    <w:link w:val="Titre7Car"/>
    <w:qFormat/>
    <w:rsid w:val="008F715D"/>
    <w:pPr>
      <w:spacing w:before="240" w:after="60"/>
      <w:outlineLvl w:val="6"/>
    </w:pPr>
  </w:style>
  <w:style w:type="paragraph" w:styleId="Titre8">
    <w:name w:val="heading 8"/>
    <w:basedOn w:val="Normal"/>
    <w:next w:val="Normal"/>
    <w:link w:val="Titre8Car"/>
    <w:qFormat/>
    <w:rsid w:val="008F715D"/>
    <w:pPr>
      <w:spacing w:before="240" w:after="60"/>
      <w:outlineLvl w:val="7"/>
    </w:pPr>
    <w:rPr>
      <w:i/>
      <w:iCs/>
    </w:rPr>
  </w:style>
  <w:style w:type="paragraph" w:styleId="Titre9">
    <w:name w:val="heading 9"/>
    <w:basedOn w:val="Normal"/>
    <w:next w:val="Normal"/>
    <w:link w:val="Titre9Car"/>
    <w:qFormat/>
    <w:rsid w:val="008F715D"/>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F715D"/>
    <w:rPr>
      <w:rFonts w:ascii="Times New Roman" w:eastAsia="Times New Roman" w:hAnsi="Times New Roman" w:cs="Times New Roman"/>
      <w:b/>
      <w:bCs/>
      <w:sz w:val="28"/>
      <w:szCs w:val="24"/>
      <w:lang w:eastAsia="fr-FR"/>
    </w:rPr>
  </w:style>
  <w:style w:type="character" w:customStyle="1" w:styleId="Titre2Car">
    <w:name w:val="Titre 2 Car"/>
    <w:basedOn w:val="Policepardfaut"/>
    <w:link w:val="Titre2"/>
    <w:rsid w:val="008F715D"/>
    <w:rPr>
      <w:rFonts w:ascii="Times New Roman" w:eastAsia="Times New Roman" w:hAnsi="Times New Roman" w:cs="Times New Roman"/>
      <w:i/>
      <w:iCs/>
      <w:sz w:val="28"/>
      <w:szCs w:val="24"/>
      <w:lang w:eastAsia="fr-FR"/>
    </w:rPr>
  </w:style>
  <w:style w:type="character" w:customStyle="1" w:styleId="Titre3Car">
    <w:name w:val="Titre 3 Car"/>
    <w:basedOn w:val="Policepardfaut"/>
    <w:link w:val="Titre3"/>
    <w:rsid w:val="008F715D"/>
    <w:rPr>
      <w:rFonts w:ascii="Times New Roman" w:eastAsia="Times New Roman" w:hAnsi="Times New Roman" w:cs="Times New Roman"/>
      <w:sz w:val="28"/>
      <w:szCs w:val="24"/>
      <w:lang w:eastAsia="fr-FR"/>
    </w:rPr>
  </w:style>
  <w:style w:type="character" w:customStyle="1" w:styleId="Titre4Car">
    <w:name w:val="Titre 4 Car"/>
    <w:basedOn w:val="Policepardfaut"/>
    <w:link w:val="Titre4"/>
    <w:rsid w:val="008F715D"/>
    <w:rPr>
      <w:rFonts w:ascii="Times New Roman" w:eastAsia="Times New Roman" w:hAnsi="Times New Roman" w:cs="Times New Roman"/>
      <w:b/>
      <w:bCs/>
      <w:i/>
      <w:iCs/>
      <w:sz w:val="28"/>
      <w:szCs w:val="24"/>
      <w:lang w:eastAsia="fr-FR"/>
    </w:rPr>
  </w:style>
  <w:style w:type="character" w:customStyle="1" w:styleId="Titre5Car">
    <w:name w:val="Titre 5 Car"/>
    <w:basedOn w:val="Policepardfaut"/>
    <w:link w:val="Titre5"/>
    <w:rsid w:val="008F715D"/>
    <w:rPr>
      <w:rFonts w:ascii="Times New Roman" w:eastAsia="Times New Roman" w:hAnsi="Times New Roman" w:cs="Times New Roman"/>
      <w:i/>
      <w:iCs/>
      <w:sz w:val="28"/>
      <w:szCs w:val="24"/>
      <w:lang w:eastAsia="fr-FR"/>
    </w:rPr>
  </w:style>
  <w:style w:type="character" w:customStyle="1" w:styleId="Titre6Car">
    <w:name w:val="Titre 6 Car"/>
    <w:basedOn w:val="Policepardfaut"/>
    <w:link w:val="Titre6"/>
    <w:rsid w:val="008F715D"/>
    <w:rPr>
      <w:rFonts w:ascii="Times New Roman" w:eastAsia="Times New Roman" w:hAnsi="Times New Roman" w:cs="Times New Roman"/>
      <w:b/>
      <w:bCs/>
      <w:lang w:eastAsia="fr-FR"/>
    </w:rPr>
  </w:style>
  <w:style w:type="character" w:customStyle="1" w:styleId="Titre7Car">
    <w:name w:val="Titre 7 Car"/>
    <w:basedOn w:val="Policepardfaut"/>
    <w:link w:val="Titre7"/>
    <w:rsid w:val="008F715D"/>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8F715D"/>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8F715D"/>
    <w:rPr>
      <w:rFonts w:ascii="Arial" w:eastAsia="Times New Roman" w:hAnsi="Arial" w:cs="Arial"/>
      <w:lang w:eastAsia="fr-FR"/>
    </w:rPr>
  </w:style>
  <w:style w:type="character" w:customStyle="1" w:styleId="CorpsdetexteCar">
    <w:name w:val="Corps de texte Car"/>
    <w:basedOn w:val="Policepardfaut"/>
    <w:link w:val="Corpsdetexte"/>
    <w:semiHidden/>
    <w:rsid w:val="008F715D"/>
    <w:rPr>
      <w:rFonts w:ascii="Times New Roman" w:eastAsia="Times New Roman" w:hAnsi="Times New Roman" w:cs="Times New Roman"/>
      <w:sz w:val="28"/>
      <w:szCs w:val="24"/>
      <w:lang w:eastAsia="fr-FR"/>
    </w:rPr>
  </w:style>
  <w:style w:type="paragraph" w:styleId="Corpsdetexte">
    <w:name w:val="Body Text"/>
    <w:basedOn w:val="Normal"/>
    <w:link w:val="CorpsdetexteCar"/>
    <w:semiHidden/>
    <w:rsid w:val="008F715D"/>
    <w:pPr>
      <w:ind w:right="527"/>
      <w:jc w:val="both"/>
    </w:pPr>
    <w:rPr>
      <w:sz w:val="28"/>
    </w:rPr>
  </w:style>
  <w:style w:type="character" w:customStyle="1" w:styleId="CorpsdetexteCar1">
    <w:name w:val="Corps de texte Car1"/>
    <w:basedOn w:val="Policepardfaut"/>
    <w:link w:val="Corpsdetexte"/>
    <w:uiPriority w:val="99"/>
    <w:semiHidden/>
    <w:rsid w:val="008F715D"/>
    <w:rPr>
      <w:rFonts w:ascii="Times New Roman" w:eastAsia="Times New Roman" w:hAnsi="Times New Roman" w:cs="Times New Roman"/>
      <w:sz w:val="24"/>
      <w:szCs w:val="24"/>
      <w:lang w:eastAsia="fr-FR"/>
    </w:rPr>
  </w:style>
  <w:style w:type="paragraph" w:styleId="Titre">
    <w:name w:val="Title"/>
    <w:basedOn w:val="Normal"/>
    <w:link w:val="TitreCar"/>
    <w:qFormat/>
    <w:rsid w:val="008F715D"/>
    <w:pPr>
      <w:jc w:val="center"/>
    </w:pPr>
    <w:rPr>
      <w:b/>
      <w:bCs/>
      <w:sz w:val="28"/>
      <w:szCs w:val="28"/>
      <w:u w:val="single"/>
    </w:rPr>
  </w:style>
  <w:style w:type="character" w:customStyle="1" w:styleId="TitreCar">
    <w:name w:val="Titre Car"/>
    <w:basedOn w:val="Policepardfaut"/>
    <w:link w:val="Titre"/>
    <w:rsid w:val="008F715D"/>
    <w:rPr>
      <w:rFonts w:ascii="Times New Roman" w:eastAsia="Times New Roman" w:hAnsi="Times New Roman" w:cs="Times New Roman"/>
      <w:b/>
      <w:bCs/>
      <w:sz w:val="28"/>
      <w:szCs w:val="28"/>
      <w:u w:val="single"/>
      <w:lang w:eastAsia="fr-FR"/>
    </w:rPr>
  </w:style>
  <w:style w:type="character" w:customStyle="1" w:styleId="RetraitcorpsdetexteCar">
    <w:name w:val="Retrait corps de texte Car"/>
    <w:basedOn w:val="Policepardfaut"/>
    <w:link w:val="Retraitcorpsdetexte"/>
    <w:semiHidden/>
    <w:rsid w:val="008F715D"/>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semiHidden/>
    <w:rsid w:val="008F715D"/>
    <w:pPr>
      <w:spacing w:after="120"/>
      <w:ind w:left="283"/>
    </w:pPr>
  </w:style>
  <w:style w:type="character" w:customStyle="1" w:styleId="RetraitcorpsdetexteCar1">
    <w:name w:val="Retrait corps de texte Car1"/>
    <w:basedOn w:val="Policepardfaut"/>
    <w:link w:val="Retraitcorpsdetexte"/>
    <w:uiPriority w:val="99"/>
    <w:semiHidden/>
    <w:rsid w:val="008F715D"/>
    <w:rPr>
      <w:rFonts w:ascii="Times New Roman" w:eastAsia="Times New Roman" w:hAnsi="Times New Roman" w:cs="Times New Roman"/>
      <w:sz w:val="24"/>
      <w:szCs w:val="24"/>
      <w:lang w:eastAsia="fr-FR"/>
    </w:rPr>
  </w:style>
  <w:style w:type="paragraph" w:styleId="Pieddepage">
    <w:name w:val="footer"/>
    <w:basedOn w:val="Normal"/>
    <w:link w:val="PieddepageCar"/>
    <w:rsid w:val="008F715D"/>
    <w:pPr>
      <w:tabs>
        <w:tab w:val="center" w:pos="4536"/>
        <w:tab w:val="right" w:pos="9072"/>
      </w:tabs>
    </w:pPr>
  </w:style>
  <w:style w:type="character" w:customStyle="1" w:styleId="PieddepageCar">
    <w:name w:val="Pied de page Car"/>
    <w:basedOn w:val="Policepardfaut"/>
    <w:link w:val="Pieddepage"/>
    <w:rsid w:val="008F715D"/>
    <w:rPr>
      <w:rFonts w:ascii="Times New Roman" w:eastAsia="Times New Roman" w:hAnsi="Times New Roman" w:cs="Times New Roman"/>
      <w:sz w:val="24"/>
      <w:szCs w:val="24"/>
      <w:lang w:eastAsia="fr-FR"/>
    </w:rPr>
  </w:style>
  <w:style w:type="character" w:styleId="Lienhypertexte">
    <w:name w:val="Hyperlink"/>
    <w:basedOn w:val="Policepardfaut"/>
    <w:uiPriority w:val="99"/>
    <w:rsid w:val="008F715D"/>
    <w:rPr>
      <w:color w:val="0000FF"/>
      <w:u w:val="single"/>
    </w:rPr>
  </w:style>
  <w:style w:type="character" w:customStyle="1" w:styleId="SalutationsCar">
    <w:name w:val="Salutations Car"/>
    <w:basedOn w:val="Policepardfaut"/>
    <w:link w:val="Salutations"/>
    <w:semiHidden/>
    <w:rsid w:val="008F715D"/>
    <w:rPr>
      <w:rFonts w:ascii="Times New Roman" w:eastAsia="Times New Roman" w:hAnsi="Times New Roman" w:cs="Times New Roman"/>
      <w:sz w:val="24"/>
      <w:szCs w:val="24"/>
      <w:lang w:eastAsia="fr-FR"/>
    </w:rPr>
  </w:style>
  <w:style w:type="paragraph" w:styleId="Salutations">
    <w:name w:val="Salutation"/>
    <w:basedOn w:val="Normal"/>
    <w:next w:val="Normal"/>
    <w:link w:val="SalutationsCar"/>
    <w:semiHidden/>
    <w:rsid w:val="008F715D"/>
  </w:style>
  <w:style w:type="character" w:customStyle="1" w:styleId="SalutationsCar1">
    <w:name w:val="Salutations Car1"/>
    <w:basedOn w:val="Policepardfaut"/>
    <w:link w:val="Salutations"/>
    <w:uiPriority w:val="99"/>
    <w:semiHidden/>
    <w:rsid w:val="008F715D"/>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rsid w:val="008F715D"/>
    <w:rPr>
      <w:rFonts w:ascii="Times New Roman" w:eastAsia="Times New Roman" w:hAnsi="Times New Roman" w:cs="Times New Roman"/>
      <w:sz w:val="28"/>
      <w:szCs w:val="28"/>
      <w:lang w:eastAsia="fr-FR"/>
    </w:rPr>
  </w:style>
  <w:style w:type="paragraph" w:styleId="Corpsdetexte3">
    <w:name w:val="Body Text 3"/>
    <w:basedOn w:val="Normal"/>
    <w:link w:val="Corpsdetexte3Car"/>
    <w:rsid w:val="008F715D"/>
    <w:pPr>
      <w:jc w:val="both"/>
    </w:pPr>
    <w:rPr>
      <w:sz w:val="28"/>
      <w:szCs w:val="28"/>
    </w:rPr>
  </w:style>
  <w:style w:type="character" w:customStyle="1" w:styleId="Corpsdetexte3Car1">
    <w:name w:val="Corps de texte 3 Car1"/>
    <w:basedOn w:val="Policepardfaut"/>
    <w:link w:val="Corpsdetexte3"/>
    <w:uiPriority w:val="99"/>
    <w:semiHidden/>
    <w:rsid w:val="008F715D"/>
    <w:rPr>
      <w:rFonts w:ascii="Times New Roman" w:eastAsia="Times New Roman" w:hAnsi="Times New Roman" w:cs="Times New Roman"/>
      <w:sz w:val="16"/>
      <w:szCs w:val="16"/>
      <w:lang w:eastAsia="fr-FR"/>
    </w:rPr>
  </w:style>
  <w:style w:type="paragraph" w:customStyle="1" w:styleId="Titre40">
    <w:name w:val="Titre4"/>
    <w:basedOn w:val="Normal"/>
    <w:rsid w:val="008F715D"/>
    <w:pPr>
      <w:tabs>
        <w:tab w:val="left" w:pos="0"/>
      </w:tabs>
      <w:ind w:left="-120" w:right="405" w:firstLine="828"/>
      <w:jc w:val="both"/>
    </w:pPr>
    <w:rPr>
      <w:i/>
      <w:iCs/>
      <w:sz w:val="28"/>
      <w:szCs w:val="28"/>
    </w:rPr>
  </w:style>
  <w:style w:type="paragraph" w:styleId="En-tte">
    <w:name w:val="header"/>
    <w:basedOn w:val="Normal"/>
    <w:link w:val="En-tteCar"/>
    <w:rsid w:val="008F715D"/>
    <w:pPr>
      <w:tabs>
        <w:tab w:val="center" w:pos="4536"/>
        <w:tab w:val="right" w:pos="9072"/>
      </w:tabs>
    </w:pPr>
    <w:rPr>
      <w:sz w:val="20"/>
      <w:szCs w:val="20"/>
    </w:rPr>
  </w:style>
  <w:style w:type="character" w:customStyle="1" w:styleId="En-tteCar">
    <w:name w:val="En-tête Car"/>
    <w:basedOn w:val="Policepardfaut"/>
    <w:link w:val="En-tte"/>
    <w:rsid w:val="008F715D"/>
    <w:rPr>
      <w:rFonts w:ascii="Times New Roman" w:eastAsia="Times New Roman" w:hAnsi="Times New Roman" w:cs="Times New Roman"/>
      <w:sz w:val="20"/>
      <w:szCs w:val="20"/>
      <w:lang w:eastAsia="fr-FR"/>
    </w:rPr>
  </w:style>
  <w:style w:type="character" w:customStyle="1" w:styleId="Corpsdetexte2Car">
    <w:name w:val="Corps de texte 2 Car"/>
    <w:basedOn w:val="Policepardfaut"/>
    <w:link w:val="Corpsdetexte2"/>
    <w:uiPriority w:val="99"/>
    <w:rsid w:val="008F715D"/>
    <w:rPr>
      <w:rFonts w:ascii="Times New Roman" w:eastAsia="Times New Roman" w:hAnsi="Times New Roman" w:cs="Times New Roman"/>
      <w:sz w:val="24"/>
      <w:szCs w:val="24"/>
      <w:lang w:eastAsia="fr-FR"/>
    </w:rPr>
  </w:style>
  <w:style w:type="paragraph" w:styleId="Corpsdetexte2">
    <w:name w:val="Body Text 2"/>
    <w:basedOn w:val="Normal"/>
    <w:link w:val="Corpsdetexte2Car"/>
    <w:uiPriority w:val="99"/>
    <w:rsid w:val="008F715D"/>
    <w:pPr>
      <w:spacing w:after="120" w:line="480" w:lineRule="auto"/>
    </w:pPr>
  </w:style>
  <w:style w:type="character" w:customStyle="1" w:styleId="Corpsdetexte2Car1">
    <w:name w:val="Corps de texte 2 Car1"/>
    <w:basedOn w:val="Policepardfaut"/>
    <w:link w:val="Corpsdetexte2"/>
    <w:uiPriority w:val="99"/>
    <w:semiHidden/>
    <w:rsid w:val="008F715D"/>
    <w:rPr>
      <w:rFonts w:ascii="Times New Roman" w:eastAsia="Times New Roman" w:hAnsi="Times New Roman" w:cs="Times New Roman"/>
      <w:sz w:val="24"/>
      <w:szCs w:val="24"/>
      <w:lang w:eastAsia="fr-FR"/>
    </w:rPr>
  </w:style>
  <w:style w:type="character" w:customStyle="1" w:styleId="Retraitcorpsdetexte3Car">
    <w:name w:val="Retrait corps de texte 3 Car"/>
    <w:basedOn w:val="Policepardfaut"/>
    <w:link w:val="Retraitcorpsdetexte3"/>
    <w:semiHidden/>
    <w:rsid w:val="008F715D"/>
    <w:rPr>
      <w:rFonts w:ascii="Times New Roman" w:eastAsia="Times New Roman" w:hAnsi="Times New Roman" w:cs="Times New Roman"/>
      <w:sz w:val="16"/>
      <w:szCs w:val="16"/>
      <w:lang w:eastAsia="fr-FR"/>
    </w:rPr>
  </w:style>
  <w:style w:type="paragraph" w:styleId="Retraitcorpsdetexte3">
    <w:name w:val="Body Text Indent 3"/>
    <w:basedOn w:val="Normal"/>
    <w:link w:val="Retraitcorpsdetexte3Car"/>
    <w:semiHidden/>
    <w:rsid w:val="008F715D"/>
    <w:pPr>
      <w:spacing w:after="120"/>
      <w:ind w:left="283"/>
    </w:pPr>
    <w:rPr>
      <w:sz w:val="16"/>
      <w:szCs w:val="16"/>
    </w:rPr>
  </w:style>
  <w:style w:type="character" w:customStyle="1" w:styleId="Retraitcorpsdetexte3Car1">
    <w:name w:val="Retrait corps de texte 3 Car1"/>
    <w:basedOn w:val="Policepardfaut"/>
    <w:link w:val="Retraitcorpsdetexte3"/>
    <w:uiPriority w:val="99"/>
    <w:semiHidden/>
    <w:rsid w:val="008F715D"/>
    <w:rPr>
      <w:rFonts w:ascii="Times New Roman" w:eastAsia="Times New Roman" w:hAnsi="Times New Roman" w:cs="Times New Roman"/>
      <w:sz w:val="16"/>
      <w:szCs w:val="16"/>
      <w:lang w:eastAsia="fr-FR"/>
    </w:rPr>
  </w:style>
  <w:style w:type="paragraph" w:styleId="Sous-titre">
    <w:name w:val="Subtitle"/>
    <w:basedOn w:val="Normal"/>
    <w:link w:val="Sous-titreCar"/>
    <w:qFormat/>
    <w:rsid w:val="008F715D"/>
    <w:rPr>
      <w:sz w:val="28"/>
    </w:rPr>
  </w:style>
  <w:style w:type="character" w:customStyle="1" w:styleId="Sous-titreCar">
    <w:name w:val="Sous-titre Car"/>
    <w:basedOn w:val="Policepardfaut"/>
    <w:link w:val="Sous-titre"/>
    <w:rsid w:val="008F715D"/>
    <w:rPr>
      <w:rFonts w:ascii="Times New Roman" w:eastAsia="Times New Roman" w:hAnsi="Times New Roman" w:cs="Times New Roman"/>
      <w:sz w:val="28"/>
      <w:szCs w:val="24"/>
      <w:lang w:eastAsia="fr-FR"/>
    </w:rPr>
  </w:style>
  <w:style w:type="paragraph" w:styleId="Textedebulles">
    <w:name w:val="Balloon Text"/>
    <w:basedOn w:val="Normal"/>
    <w:link w:val="TextedebullesCar"/>
    <w:semiHidden/>
    <w:rsid w:val="008F715D"/>
    <w:rPr>
      <w:rFonts w:ascii="Tahoma" w:hAnsi="Tahoma" w:cs="Tahoma"/>
      <w:sz w:val="16"/>
      <w:szCs w:val="16"/>
    </w:rPr>
  </w:style>
  <w:style w:type="character" w:customStyle="1" w:styleId="TextedebullesCar">
    <w:name w:val="Texte de bulles Car"/>
    <w:basedOn w:val="Policepardfaut"/>
    <w:link w:val="Textedebulles"/>
    <w:semiHidden/>
    <w:rsid w:val="008F715D"/>
    <w:rPr>
      <w:rFonts w:ascii="Tahoma" w:eastAsia="Times New Roman" w:hAnsi="Tahoma" w:cs="Tahoma"/>
      <w:sz w:val="16"/>
      <w:szCs w:val="16"/>
      <w:lang w:eastAsia="fr-FR"/>
    </w:rPr>
  </w:style>
  <w:style w:type="paragraph" w:styleId="Lgende">
    <w:name w:val="caption"/>
    <w:basedOn w:val="Normal"/>
    <w:next w:val="Normal"/>
    <w:qFormat/>
    <w:rsid w:val="008F715D"/>
    <w:pPr>
      <w:jc w:val="both"/>
    </w:pPr>
    <w:rPr>
      <w:b/>
      <w:i/>
    </w:rPr>
  </w:style>
  <w:style w:type="character" w:customStyle="1" w:styleId="Retraitcorpsdetexte2Car">
    <w:name w:val="Retrait corps de texte 2 Car"/>
    <w:basedOn w:val="Policepardfaut"/>
    <w:link w:val="Retraitcorpsdetexte2"/>
    <w:rsid w:val="008F715D"/>
    <w:rPr>
      <w:rFonts w:ascii="Times New Roman" w:eastAsia="Times New Roman" w:hAnsi="Times New Roman" w:cs="Times New Roman"/>
      <w:sz w:val="28"/>
      <w:szCs w:val="24"/>
      <w:lang w:eastAsia="fr-FR"/>
    </w:rPr>
  </w:style>
  <w:style w:type="paragraph" w:styleId="Retraitcorpsdetexte2">
    <w:name w:val="Body Text Indent 2"/>
    <w:basedOn w:val="Normal"/>
    <w:link w:val="Retraitcorpsdetexte2Car"/>
    <w:rsid w:val="008F715D"/>
    <w:pPr>
      <w:ind w:firstLine="720"/>
      <w:jc w:val="both"/>
    </w:pPr>
    <w:rPr>
      <w:sz w:val="28"/>
    </w:rPr>
  </w:style>
  <w:style w:type="character" w:customStyle="1" w:styleId="Retraitcorpsdetexte2Car1">
    <w:name w:val="Retrait corps de texte 2 Car1"/>
    <w:basedOn w:val="Policepardfaut"/>
    <w:link w:val="Retraitcorpsdetexte2"/>
    <w:semiHidden/>
    <w:rsid w:val="008F715D"/>
    <w:rPr>
      <w:rFonts w:ascii="Times New Roman" w:eastAsia="Times New Roman" w:hAnsi="Times New Roman" w:cs="Times New Roman"/>
      <w:sz w:val="24"/>
      <w:szCs w:val="24"/>
      <w:lang w:eastAsia="fr-FR"/>
    </w:rPr>
  </w:style>
  <w:style w:type="table" w:styleId="Grilledutableau">
    <w:name w:val="Table Grid"/>
    <w:basedOn w:val="TableauNormal"/>
    <w:uiPriority w:val="59"/>
    <w:rsid w:val="008F715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aliases w:val="References,List Paragraph"/>
    <w:basedOn w:val="Normal"/>
    <w:link w:val="ParagraphedelisteCar"/>
    <w:uiPriority w:val="34"/>
    <w:qFormat/>
    <w:rsid w:val="008F715D"/>
    <w:pPr>
      <w:spacing w:after="200" w:line="276" w:lineRule="auto"/>
      <w:ind w:left="720"/>
      <w:contextualSpacing/>
    </w:pPr>
    <w:rPr>
      <w:rFonts w:ascii="Calibri" w:eastAsia="Calibri" w:hAnsi="Calibri"/>
      <w:sz w:val="22"/>
      <w:szCs w:val="22"/>
      <w:lang w:eastAsia="en-US"/>
    </w:rPr>
  </w:style>
  <w:style w:type="character" w:customStyle="1" w:styleId="ParagraphedelisteCar">
    <w:name w:val="Paragraphe de liste Car"/>
    <w:aliases w:val="References Car,List Paragraph Car"/>
    <w:link w:val="Paragraphedeliste"/>
    <w:uiPriority w:val="34"/>
    <w:locked/>
    <w:rsid w:val="008F715D"/>
    <w:rPr>
      <w:rFonts w:ascii="Calibri" w:eastAsia="Calibri" w:hAnsi="Calibri" w:cs="Times New Roman"/>
    </w:rPr>
  </w:style>
  <w:style w:type="paragraph" w:customStyle="1" w:styleId="Standard">
    <w:name w:val="Standard"/>
    <w:rsid w:val="008F715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Sansinterligne">
    <w:name w:val="No Spacing"/>
    <w:uiPriority w:val="1"/>
    <w:qFormat/>
    <w:rsid w:val="008F715D"/>
    <w:pPr>
      <w:spacing w:after="0" w:line="240" w:lineRule="auto"/>
    </w:pPr>
    <w:rPr>
      <w:rFonts w:ascii="Calibri" w:eastAsia="Calibri" w:hAnsi="Calibri" w:cs="Times New Roman"/>
    </w:rPr>
  </w:style>
  <w:style w:type="paragraph" w:customStyle="1" w:styleId="yiv939441128msonormal">
    <w:name w:val="yiv939441128msonormal"/>
    <w:basedOn w:val="Normal"/>
    <w:rsid w:val="008F715D"/>
    <w:pPr>
      <w:spacing w:before="100" w:beforeAutospacing="1" w:after="100" w:afterAutospacing="1"/>
    </w:pPr>
  </w:style>
  <w:style w:type="paragraph" w:customStyle="1" w:styleId="para">
    <w:name w:val="para"/>
    <w:basedOn w:val="Normal"/>
    <w:rsid w:val="008F715D"/>
    <w:pPr>
      <w:spacing w:before="100" w:beforeAutospacing="1" w:after="75"/>
    </w:pPr>
  </w:style>
  <w:style w:type="paragraph" w:customStyle="1" w:styleId="Titre1niv2">
    <w:name w:val="Titre1 niv 2"/>
    <w:basedOn w:val="Titre1"/>
    <w:autoRedefine/>
    <w:qFormat/>
    <w:rsid w:val="008F715D"/>
    <w:pPr>
      <w:spacing w:after="240"/>
      <w:ind w:left="792" w:hanging="432"/>
    </w:pPr>
    <w:rPr>
      <w:color w:val="0000FF"/>
      <w:kern w:val="32"/>
      <w:szCs w:val="32"/>
    </w:rPr>
  </w:style>
  <w:style w:type="paragraph" w:customStyle="1" w:styleId="Titre1niv3">
    <w:name w:val="Titre 1 niv 3"/>
    <w:basedOn w:val="Titre1niv2"/>
    <w:link w:val="Titre1niv3Car"/>
    <w:qFormat/>
    <w:rsid w:val="008F715D"/>
    <w:pPr>
      <w:ind w:left="1224" w:hanging="504"/>
    </w:pPr>
    <w:rPr>
      <w:bCs w:val="0"/>
    </w:rPr>
  </w:style>
  <w:style w:type="character" w:customStyle="1" w:styleId="Titre1niv3Car">
    <w:name w:val="Titre 1 niv 3 Car"/>
    <w:link w:val="Titre1niv3"/>
    <w:rsid w:val="008F715D"/>
    <w:rPr>
      <w:rFonts w:ascii="Times New Roman" w:eastAsia="Times New Roman" w:hAnsi="Times New Roman" w:cs="Times New Roman"/>
      <w:b/>
      <w:color w:val="0000FF"/>
      <w:kern w:val="32"/>
      <w:sz w:val="28"/>
      <w:szCs w:val="32"/>
      <w:lang w:eastAsia="fr-FR"/>
    </w:rPr>
  </w:style>
  <w:style w:type="paragraph" w:customStyle="1" w:styleId="Titre1niv4">
    <w:name w:val="Titre 1 niv 4"/>
    <w:basedOn w:val="Titre1niv3"/>
    <w:qFormat/>
    <w:rsid w:val="008F715D"/>
    <w:pPr>
      <w:tabs>
        <w:tab w:val="num" w:pos="2880"/>
      </w:tabs>
      <w:ind w:left="2880" w:hanging="360"/>
    </w:pPr>
    <w:rPr>
      <w:i/>
      <w:szCs w:val="28"/>
    </w:rPr>
  </w:style>
  <w:style w:type="paragraph" w:styleId="En-ttedetabledesmatires">
    <w:name w:val="TOC Heading"/>
    <w:basedOn w:val="Titre1"/>
    <w:next w:val="Normal"/>
    <w:uiPriority w:val="39"/>
    <w:unhideWhenUsed/>
    <w:qFormat/>
    <w:rsid w:val="008F715D"/>
    <w:pPr>
      <w:keepLines/>
      <w:spacing w:before="480" w:after="240" w:line="276" w:lineRule="auto"/>
      <w:outlineLvl w:val="9"/>
    </w:pPr>
    <w:rPr>
      <w:rFonts w:ascii="Cambria" w:hAnsi="Cambria"/>
      <w:color w:val="365F91"/>
      <w:kern w:val="32"/>
      <w:sz w:val="32"/>
      <w:szCs w:val="32"/>
    </w:rPr>
  </w:style>
  <w:style w:type="paragraph" w:styleId="TM2">
    <w:name w:val="toc 2"/>
    <w:basedOn w:val="Normal"/>
    <w:next w:val="Normal"/>
    <w:autoRedefine/>
    <w:uiPriority w:val="39"/>
    <w:rsid w:val="008F715D"/>
    <w:pPr>
      <w:ind w:left="240"/>
    </w:pPr>
  </w:style>
  <w:style w:type="paragraph" w:styleId="TM1">
    <w:name w:val="toc 1"/>
    <w:basedOn w:val="Normal"/>
    <w:next w:val="Normal"/>
    <w:autoRedefine/>
    <w:uiPriority w:val="39"/>
    <w:rsid w:val="008F715D"/>
    <w:pPr>
      <w:tabs>
        <w:tab w:val="right" w:leader="dot" w:pos="9060"/>
      </w:tabs>
    </w:pPr>
    <w:rPr>
      <w:b/>
      <w:noProof/>
    </w:rPr>
  </w:style>
  <w:style w:type="paragraph" w:styleId="TM3">
    <w:name w:val="toc 3"/>
    <w:basedOn w:val="Normal"/>
    <w:next w:val="Normal"/>
    <w:autoRedefine/>
    <w:uiPriority w:val="39"/>
    <w:unhideWhenUsed/>
    <w:rsid w:val="008F715D"/>
    <w:pPr>
      <w:spacing w:after="100"/>
      <w:ind w:left="480"/>
    </w:pPr>
  </w:style>
  <w:style w:type="character" w:customStyle="1" w:styleId="ExplorateurdedocumentsCar">
    <w:name w:val="Explorateur de documents Car"/>
    <w:basedOn w:val="Policepardfaut"/>
    <w:link w:val="Explorateurdedocuments"/>
    <w:uiPriority w:val="99"/>
    <w:semiHidden/>
    <w:rsid w:val="008F715D"/>
    <w:rPr>
      <w:rFonts w:ascii="Tahoma" w:eastAsia="Times New Roman" w:hAnsi="Tahoma" w:cs="Tahoma"/>
      <w:sz w:val="16"/>
      <w:szCs w:val="16"/>
      <w:lang w:eastAsia="fr-FR"/>
    </w:rPr>
  </w:style>
  <w:style w:type="paragraph" w:styleId="Explorateurdedocuments">
    <w:name w:val="Document Map"/>
    <w:basedOn w:val="Normal"/>
    <w:link w:val="ExplorateurdedocumentsCar"/>
    <w:uiPriority w:val="99"/>
    <w:semiHidden/>
    <w:unhideWhenUsed/>
    <w:rsid w:val="008F715D"/>
    <w:rPr>
      <w:rFonts w:ascii="Tahoma" w:hAnsi="Tahoma" w:cs="Tahoma"/>
      <w:sz w:val="16"/>
      <w:szCs w:val="16"/>
    </w:rPr>
  </w:style>
  <w:style w:type="character" w:customStyle="1" w:styleId="ExplorateurdedocumentsCar1">
    <w:name w:val="Explorateur de documents Car1"/>
    <w:basedOn w:val="Policepardfaut"/>
    <w:link w:val="Explorateurdedocuments"/>
    <w:uiPriority w:val="99"/>
    <w:semiHidden/>
    <w:rsid w:val="008F715D"/>
    <w:rPr>
      <w:rFonts w:ascii="Tahoma" w:eastAsia="Times New Roman" w:hAnsi="Tahoma" w:cs="Tahoma"/>
      <w:sz w:val="16"/>
      <w:szCs w:val="16"/>
      <w:lang w:eastAsia="fr-FR"/>
    </w:rPr>
  </w:style>
  <w:style w:type="character" w:customStyle="1" w:styleId="ListParagraphChar">
    <w:name w:val="List Paragraph Char"/>
    <w:aliases w:val="References Char"/>
    <w:locked/>
    <w:rsid w:val="008F715D"/>
    <w:rPr>
      <w:rFonts w:ascii="Calibri" w:hAnsi="Calibri"/>
      <w:lang w:val="fr-FR" w:eastAsia="fr-FR" w:bidi="ar-SA"/>
    </w:rPr>
  </w:style>
  <w:style w:type="paragraph" w:customStyle="1" w:styleId="Default">
    <w:name w:val="Default"/>
    <w:rsid w:val="008F715D"/>
    <w:pPr>
      <w:autoSpaceDE w:val="0"/>
      <w:autoSpaceDN w:val="0"/>
      <w:adjustRightInd w:val="0"/>
      <w:spacing w:after="0" w:line="240" w:lineRule="auto"/>
    </w:pPr>
    <w:rPr>
      <w:rFonts w:ascii="Garamond" w:eastAsia="Calibri" w:hAnsi="Garamond" w:cs="Garamond"/>
      <w:color w:val="000000"/>
      <w:sz w:val="24"/>
      <w:szCs w:val="24"/>
      <w:lang w:eastAsia="fr-FR"/>
    </w:rPr>
  </w:style>
  <w:style w:type="paragraph" w:styleId="NormalWeb">
    <w:name w:val="Normal (Web)"/>
    <w:basedOn w:val="Normal"/>
    <w:uiPriority w:val="99"/>
    <w:rsid w:val="008F715D"/>
    <w:pPr>
      <w:spacing w:before="100" w:beforeAutospacing="1" w:after="100" w:afterAutospacing="1"/>
    </w:pPr>
  </w:style>
  <w:style w:type="character" w:styleId="Rfrenceintense">
    <w:name w:val="Intense Reference"/>
    <w:basedOn w:val="Policepardfaut"/>
    <w:uiPriority w:val="32"/>
    <w:qFormat/>
    <w:rsid w:val="008F715D"/>
    <w:rPr>
      <w:b/>
      <w:bCs/>
      <w:smallCaps/>
      <w:color w:val="4F81BD" w:themeColor="accent1"/>
      <w:spacing w:val="5"/>
    </w:rPr>
  </w:style>
  <w:style w:type="paragraph" w:styleId="TM4">
    <w:name w:val="toc 4"/>
    <w:basedOn w:val="Normal"/>
    <w:next w:val="Normal"/>
    <w:autoRedefine/>
    <w:uiPriority w:val="39"/>
    <w:unhideWhenUsed/>
    <w:rsid w:val="008F715D"/>
    <w:pPr>
      <w:spacing w:after="100" w:line="276" w:lineRule="auto"/>
      <w:ind w:left="660"/>
    </w:pPr>
    <w:rPr>
      <w:rFonts w:asciiTheme="minorHAnsi" w:eastAsiaTheme="minorEastAsia" w:hAnsiTheme="minorHAnsi" w:cstheme="minorBidi"/>
      <w:sz w:val="22"/>
      <w:szCs w:val="22"/>
      <w:lang w:val="en-US" w:eastAsia="en-US"/>
    </w:rPr>
  </w:style>
  <w:style w:type="paragraph" w:styleId="TM5">
    <w:name w:val="toc 5"/>
    <w:basedOn w:val="Normal"/>
    <w:next w:val="Normal"/>
    <w:autoRedefine/>
    <w:uiPriority w:val="39"/>
    <w:unhideWhenUsed/>
    <w:rsid w:val="008F715D"/>
    <w:pPr>
      <w:spacing w:after="100" w:line="276" w:lineRule="auto"/>
      <w:ind w:left="880"/>
    </w:pPr>
    <w:rPr>
      <w:rFonts w:asciiTheme="minorHAnsi" w:eastAsiaTheme="minorEastAsia" w:hAnsiTheme="minorHAnsi" w:cstheme="minorBidi"/>
      <w:sz w:val="22"/>
      <w:szCs w:val="22"/>
      <w:lang w:val="en-US" w:eastAsia="en-US"/>
    </w:rPr>
  </w:style>
  <w:style w:type="paragraph" w:styleId="TM6">
    <w:name w:val="toc 6"/>
    <w:basedOn w:val="Normal"/>
    <w:next w:val="Normal"/>
    <w:autoRedefine/>
    <w:uiPriority w:val="39"/>
    <w:unhideWhenUsed/>
    <w:rsid w:val="008F715D"/>
    <w:pPr>
      <w:spacing w:after="100" w:line="276" w:lineRule="auto"/>
      <w:ind w:left="1100"/>
    </w:pPr>
    <w:rPr>
      <w:rFonts w:asciiTheme="minorHAnsi" w:eastAsiaTheme="minorEastAsia" w:hAnsiTheme="minorHAnsi" w:cstheme="minorBidi"/>
      <w:sz w:val="22"/>
      <w:szCs w:val="22"/>
      <w:lang w:val="en-US" w:eastAsia="en-US"/>
    </w:rPr>
  </w:style>
  <w:style w:type="paragraph" w:styleId="TM7">
    <w:name w:val="toc 7"/>
    <w:basedOn w:val="Normal"/>
    <w:next w:val="Normal"/>
    <w:autoRedefine/>
    <w:uiPriority w:val="39"/>
    <w:unhideWhenUsed/>
    <w:rsid w:val="008F715D"/>
    <w:pPr>
      <w:spacing w:after="100" w:line="276" w:lineRule="auto"/>
      <w:ind w:left="1320"/>
    </w:pPr>
    <w:rPr>
      <w:rFonts w:asciiTheme="minorHAnsi" w:eastAsiaTheme="minorEastAsia" w:hAnsiTheme="minorHAnsi" w:cstheme="minorBidi"/>
      <w:sz w:val="22"/>
      <w:szCs w:val="22"/>
      <w:lang w:val="en-US" w:eastAsia="en-US"/>
    </w:rPr>
  </w:style>
  <w:style w:type="paragraph" w:styleId="TM8">
    <w:name w:val="toc 8"/>
    <w:basedOn w:val="Normal"/>
    <w:next w:val="Normal"/>
    <w:autoRedefine/>
    <w:uiPriority w:val="39"/>
    <w:unhideWhenUsed/>
    <w:rsid w:val="008F715D"/>
    <w:pPr>
      <w:spacing w:after="100" w:line="276" w:lineRule="auto"/>
      <w:ind w:left="1540"/>
    </w:pPr>
    <w:rPr>
      <w:rFonts w:asciiTheme="minorHAnsi" w:eastAsiaTheme="minorEastAsia" w:hAnsiTheme="minorHAnsi" w:cstheme="minorBidi"/>
      <w:sz w:val="22"/>
      <w:szCs w:val="22"/>
      <w:lang w:val="en-US" w:eastAsia="en-US"/>
    </w:rPr>
  </w:style>
  <w:style w:type="paragraph" w:styleId="TM9">
    <w:name w:val="toc 9"/>
    <w:basedOn w:val="Normal"/>
    <w:next w:val="Normal"/>
    <w:autoRedefine/>
    <w:uiPriority w:val="39"/>
    <w:unhideWhenUsed/>
    <w:rsid w:val="008F715D"/>
    <w:pPr>
      <w:spacing w:after="100" w:line="276" w:lineRule="auto"/>
      <w:ind w:left="1760"/>
    </w:pPr>
    <w:rPr>
      <w:rFonts w:asciiTheme="minorHAnsi" w:eastAsiaTheme="minorEastAsia" w:hAnsiTheme="minorHAnsi" w:cstheme="minorBidi"/>
      <w:sz w:val="22"/>
      <w:szCs w:val="22"/>
      <w:lang w:val="en-US" w:eastAsia="en-US"/>
    </w:rPr>
  </w:style>
  <w:style w:type="character" w:styleId="lev">
    <w:name w:val="Strong"/>
    <w:basedOn w:val="Policepardfaut"/>
    <w:uiPriority w:val="22"/>
    <w:qFormat/>
    <w:rsid w:val="008F715D"/>
    <w:rPr>
      <w:b/>
      <w:bCs/>
    </w:rPr>
  </w:style>
  <w:style w:type="paragraph" w:customStyle="1" w:styleId="Paragraphedeliste1">
    <w:name w:val="Paragraphe de liste1"/>
    <w:basedOn w:val="Normal"/>
    <w:rsid w:val="008F715D"/>
    <w:pPr>
      <w:ind w:left="708"/>
    </w:pPr>
    <w:rPr>
      <w:rFonts w:eastAsia="Calibri"/>
    </w:rPr>
  </w:style>
  <w:style w:type="paragraph" w:customStyle="1" w:styleId="yiv2296082366msolistparagraph">
    <w:name w:val="yiv2296082366msolistparagraph"/>
    <w:basedOn w:val="Normal"/>
    <w:rsid w:val="008F715D"/>
    <w:pPr>
      <w:spacing w:before="100" w:beforeAutospacing="1" w:after="100" w:afterAutospacing="1"/>
    </w:pPr>
  </w:style>
  <w:style w:type="paragraph" w:customStyle="1" w:styleId="NormalTimesNewRoman">
    <w:name w:val="Normal + Times New Roman"/>
    <w:aliases w:val="12 pt"/>
    <w:basedOn w:val="Normal"/>
    <w:link w:val="NormalTimesNewRomanCar"/>
    <w:rsid w:val="008F715D"/>
    <w:pPr>
      <w:spacing w:after="200" w:line="276" w:lineRule="auto"/>
      <w:jc w:val="both"/>
    </w:pPr>
    <w:rPr>
      <w:rFonts w:ascii="Calibri" w:eastAsia="SimSun" w:hAnsi="Calibri"/>
      <w:sz w:val="22"/>
      <w:szCs w:val="22"/>
    </w:rPr>
  </w:style>
  <w:style w:type="character" w:customStyle="1" w:styleId="NormalTimesNewRomanCar">
    <w:name w:val="Normal + Times New Roman Car"/>
    <w:aliases w:val="12 pt Car"/>
    <w:basedOn w:val="Policepardfaut"/>
    <w:link w:val="NormalTimesNewRoman"/>
    <w:rsid w:val="008F715D"/>
    <w:rPr>
      <w:rFonts w:ascii="Calibri" w:eastAsia="SimSun" w:hAnsi="Calibri" w:cs="Times New Roman"/>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5.xml"/><Relationship Id="rId5" Type="http://schemas.openxmlformats.org/officeDocument/2006/relationships/image" Target="media/image1.jpeg"/><Relationship Id="rId15" Type="http://schemas.openxmlformats.org/officeDocument/2006/relationships/chart" Target="charts/chart9.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oleObject" Target="file:///F:\graphiques%20microfinan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graphiques%20microfinan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graphiques%20microfinanc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graphiques%20microfinanc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ocuments\ASSURANCE%20NC%20JUIN-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xxx\Documents\Note%20de%20conjoncture%20au%201er%20et%202&#232;me%20trimestre%202016%20def.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ocuments\ASSURANCE%20NC%20JUIN-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ocuments\ASSURANCE%20NC%20JUIN-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NDC\Stat%20notes%20de%20conjoncture%20d&#233;finitiv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tx>
            <c:strRef>
              <c:f>Feuil1!$B$13</c:f>
              <c:strCache>
                <c:ptCount val="1"/>
                <c:pt idx="0">
                  <c:v>usagers</c:v>
                </c:pt>
              </c:strCache>
            </c:strRef>
          </c:tx>
          <c:cat>
            <c:strRef>
              <c:f>Feuil1!$C$12:$E$12</c:f>
              <c:strCache>
                <c:ptCount val="3"/>
                <c:pt idx="0">
                  <c:v>juin-14</c:v>
                </c:pt>
                <c:pt idx="1">
                  <c:v>juin-15</c:v>
                </c:pt>
                <c:pt idx="2">
                  <c:v>juin-16</c:v>
                </c:pt>
              </c:strCache>
            </c:strRef>
          </c:cat>
          <c:val>
            <c:numRef>
              <c:f>Feuil1!$C$13:$E$13</c:f>
              <c:numCache>
                <c:formatCode>_-* #,##0\ _€_-;\-* #,##0\ _€_-;_-* "-"??\ _€_-;_-@_-</c:formatCode>
                <c:ptCount val="3"/>
                <c:pt idx="0">
                  <c:v>93017</c:v>
                </c:pt>
                <c:pt idx="1">
                  <c:v>109118</c:v>
                </c:pt>
                <c:pt idx="2">
                  <c:v>136985</c:v>
                </c:pt>
              </c:numCache>
            </c:numRef>
          </c:val>
        </c:ser>
        <c:shape val="box"/>
        <c:axId val="94300416"/>
        <c:axId val="94617984"/>
        <c:axId val="0"/>
      </c:bar3DChart>
      <c:catAx>
        <c:axId val="94300416"/>
        <c:scaling>
          <c:orientation val="minMax"/>
        </c:scaling>
        <c:axPos val="b"/>
        <c:numFmt formatCode="General" sourceLinked="1"/>
        <c:tickLblPos val="nextTo"/>
        <c:crossAx val="94617984"/>
        <c:crosses val="autoZero"/>
        <c:auto val="1"/>
        <c:lblAlgn val="ctr"/>
        <c:lblOffset val="100"/>
      </c:catAx>
      <c:valAx>
        <c:axId val="94617984"/>
        <c:scaling>
          <c:orientation val="minMax"/>
        </c:scaling>
        <c:axPos val="l"/>
        <c:majorGridlines/>
        <c:numFmt formatCode="_-* #,##0\ _€_-;\-* #,##0\ _€_-;_-* &quot;-&quot;??\ _€_-;_-@_-" sourceLinked="1"/>
        <c:tickLblPos val="nextTo"/>
        <c:crossAx val="9430041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fr-FR"/>
  <c:chart>
    <c:autoTitleDeleted val="1"/>
    <c:view3D>
      <c:rAngAx val="1"/>
    </c:view3D>
    <c:plotArea>
      <c:layout/>
      <c:bar3DChart>
        <c:barDir val="col"/>
        <c:grouping val="clustered"/>
        <c:ser>
          <c:idx val="0"/>
          <c:order val="0"/>
          <c:tx>
            <c:strRef>
              <c:f>Feuil1!$B$14</c:f>
              <c:strCache>
                <c:ptCount val="1"/>
                <c:pt idx="0">
                  <c:v>effectifs </c:v>
                </c:pt>
              </c:strCache>
            </c:strRef>
          </c:tx>
          <c:cat>
            <c:strRef>
              <c:f>Feuil1!$C$12:$E$12</c:f>
              <c:strCache>
                <c:ptCount val="3"/>
                <c:pt idx="0">
                  <c:v>juin-14</c:v>
                </c:pt>
                <c:pt idx="1">
                  <c:v>juin-15</c:v>
                </c:pt>
                <c:pt idx="2">
                  <c:v>juin-16</c:v>
                </c:pt>
              </c:strCache>
            </c:strRef>
          </c:cat>
          <c:val>
            <c:numRef>
              <c:f>Feuil1!$C$14:$E$14</c:f>
              <c:numCache>
                <c:formatCode>General</c:formatCode>
                <c:ptCount val="3"/>
                <c:pt idx="0">
                  <c:v>404</c:v>
                </c:pt>
                <c:pt idx="1">
                  <c:v>451</c:v>
                </c:pt>
                <c:pt idx="2">
                  <c:v>540</c:v>
                </c:pt>
              </c:numCache>
            </c:numRef>
          </c:val>
        </c:ser>
        <c:shape val="box"/>
        <c:axId val="98188672"/>
        <c:axId val="98317440"/>
        <c:axId val="0"/>
      </c:bar3DChart>
      <c:catAx>
        <c:axId val="98188672"/>
        <c:scaling>
          <c:orientation val="minMax"/>
        </c:scaling>
        <c:axPos val="b"/>
        <c:numFmt formatCode="General" sourceLinked="1"/>
        <c:tickLblPos val="nextTo"/>
        <c:crossAx val="98317440"/>
        <c:crosses val="autoZero"/>
        <c:auto val="1"/>
        <c:lblAlgn val="ctr"/>
        <c:lblOffset val="100"/>
      </c:catAx>
      <c:valAx>
        <c:axId val="98317440"/>
        <c:scaling>
          <c:orientation val="minMax"/>
        </c:scaling>
        <c:axPos val="l"/>
        <c:majorGridlines/>
        <c:numFmt formatCode="General" sourceLinked="1"/>
        <c:tickLblPos val="nextTo"/>
        <c:crossAx val="98188672"/>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fr-FR"/>
  <c:chart>
    <c:autoTitleDeleted val="1"/>
    <c:view3D>
      <c:rAngAx val="1"/>
    </c:view3D>
    <c:plotArea>
      <c:layout/>
      <c:bar3DChart>
        <c:barDir val="col"/>
        <c:grouping val="clustered"/>
        <c:ser>
          <c:idx val="0"/>
          <c:order val="0"/>
          <c:tx>
            <c:strRef>
              <c:f>Feuil1!$B$7</c:f>
              <c:strCache>
                <c:ptCount val="1"/>
                <c:pt idx="0">
                  <c:v>fonds propres</c:v>
                </c:pt>
              </c:strCache>
            </c:strRef>
          </c:tx>
          <c:cat>
            <c:strRef>
              <c:f>Feuil1!$C$12:$E$12</c:f>
              <c:strCache>
                <c:ptCount val="3"/>
                <c:pt idx="0">
                  <c:v>juin-14</c:v>
                </c:pt>
                <c:pt idx="1">
                  <c:v>juin-15</c:v>
                </c:pt>
                <c:pt idx="2">
                  <c:v>juin-16</c:v>
                </c:pt>
              </c:strCache>
            </c:strRef>
          </c:cat>
          <c:val>
            <c:numRef>
              <c:f>Feuil1!$C$7:$E$7</c:f>
              <c:numCache>
                <c:formatCode>General</c:formatCode>
                <c:ptCount val="3"/>
                <c:pt idx="0">
                  <c:v>5.3</c:v>
                </c:pt>
                <c:pt idx="1">
                  <c:v>5.0999999999999996</c:v>
                </c:pt>
                <c:pt idx="2">
                  <c:v>3.5</c:v>
                </c:pt>
              </c:numCache>
            </c:numRef>
          </c:val>
        </c:ser>
        <c:shape val="box"/>
        <c:axId val="98146176"/>
        <c:axId val="98147712"/>
        <c:axId val="0"/>
      </c:bar3DChart>
      <c:catAx>
        <c:axId val="98146176"/>
        <c:scaling>
          <c:orientation val="minMax"/>
        </c:scaling>
        <c:axPos val="b"/>
        <c:numFmt formatCode="General" sourceLinked="1"/>
        <c:tickLblPos val="nextTo"/>
        <c:crossAx val="98147712"/>
        <c:crosses val="autoZero"/>
        <c:auto val="1"/>
        <c:lblAlgn val="ctr"/>
        <c:lblOffset val="100"/>
      </c:catAx>
      <c:valAx>
        <c:axId val="98147712"/>
        <c:scaling>
          <c:orientation val="minMax"/>
        </c:scaling>
        <c:axPos val="l"/>
        <c:majorGridlines/>
        <c:numFmt formatCode="General" sourceLinked="1"/>
        <c:tickLblPos val="nextTo"/>
        <c:crossAx val="98146176"/>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fr-FR"/>
  <c:chart>
    <c:view3D>
      <c:rAngAx val="1"/>
    </c:view3D>
    <c:plotArea>
      <c:layout/>
      <c:bar3DChart>
        <c:barDir val="col"/>
        <c:grouping val="clustered"/>
        <c:ser>
          <c:idx val="1"/>
          <c:order val="0"/>
          <c:tx>
            <c:strRef>
              <c:f>Feuil1!$B$8</c:f>
              <c:strCache>
                <c:ptCount val="1"/>
                <c:pt idx="0">
                  <c:v>encours de dépôts</c:v>
                </c:pt>
              </c:strCache>
            </c:strRef>
          </c:tx>
          <c:cat>
            <c:strRef>
              <c:f>Feuil1!$C$6:$E$6</c:f>
              <c:strCache>
                <c:ptCount val="3"/>
                <c:pt idx="0">
                  <c:v>juin-14</c:v>
                </c:pt>
                <c:pt idx="1">
                  <c:v>juin-15</c:v>
                </c:pt>
                <c:pt idx="2">
                  <c:v>juin-16</c:v>
                </c:pt>
              </c:strCache>
            </c:strRef>
          </c:cat>
          <c:val>
            <c:numRef>
              <c:f>Feuil1!$C$8:$E$8</c:f>
              <c:numCache>
                <c:formatCode>General</c:formatCode>
                <c:ptCount val="3"/>
                <c:pt idx="0">
                  <c:v>31.8</c:v>
                </c:pt>
                <c:pt idx="1">
                  <c:v>34.849999999999994</c:v>
                </c:pt>
                <c:pt idx="2">
                  <c:v>20.18</c:v>
                </c:pt>
              </c:numCache>
            </c:numRef>
          </c:val>
        </c:ser>
        <c:ser>
          <c:idx val="2"/>
          <c:order val="1"/>
          <c:tx>
            <c:strRef>
              <c:f>Feuil1!$B$9</c:f>
              <c:strCache>
                <c:ptCount val="1"/>
                <c:pt idx="0">
                  <c:v>ecours de crédits</c:v>
                </c:pt>
              </c:strCache>
            </c:strRef>
          </c:tx>
          <c:cat>
            <c:strRef>
              <c:f>Feuil1!$C$6:$E$6</c:f>
              <c:strCache>
                <c:ptCount val="3"/>
                <c:pt idx="0">
                  <c:v>juin-14</c:v>
                </c:pt>
                <c:pt idx="1">
                  <c:v>juin-15</c:v>
                </c:pt>
                <c:pt idx="2">
                  <c:v>juin-16</c:v>
                </c:pt>
              </c:strCache>
            </c:strRef>
          </c:cat>
          <c:val>
            <c:numRef>
              <c:f>Feuil1!$C$9:$E$9</c:f>
              <c:numCache>
                <c:formatCode>General</c:formatCode>
                <c:ptCount val="3"/>
                <c:pt idx="0">
                  <c:v>22</c:v>
                </c:pt>
                <c:pt idx="1">
                  <c:v>23.12</c:v>
                </c:pt>
                <c:pt idx="2">
                  <c:v>19.170000000000005</c:v>
                </c:pt>
              </c:numCache>
            </c:numRef>
          </c:val>
        </c:ser>
        <c:shape val="box"/>
        <c:axId val="98205696"/>
        <c:axId val="98207232"/>
        <c:axId val="0"/>
      </c:bar3DChart>
      <c:catAx>
        <c:axId val="98205696"/>
        <c:scaling>
          <c:orientation val="minMax"/>
        </c:scaling>
        <c:axPos val="b"/>
        <c:numFmt formatCode="General" sourceLinked="1"/>
        <c:tickLblPos val="nextTo"/>
        <c:crossAx val="98207232"/>
        <c:crosses val="autoZero"/>
        <c:auto val="1"/>
        <c:lblAlgn val="ctr"/>
        <c:lblOffset val="100"/>
      </c:catAx>
      <c:valAx>
        <c:axId val="98207232"/>
        <c:scaling>
          <c:orientation val="minMax"/>
        </c:scaling>
        <c:axPos val="l"/>
        <c:majorGridlines/>
        <c:numFmt formatCode="General" sourceLinked="1"/>
        <c:tickLblPos val="nextTo"/>
        <c:crossAx val="98205696"/>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fr-FR"/>
  <c:chart>
    <c:autoTitleDeleted val="1"/>
    <c:plotArea>
      <c:layout>
        <c:manualLayout>
          <c:layoutTarget val="inner"/>
          <c:xMode val="edge"/>
          <c:yMode val="edge"/>
          <c:x val="4.0325336217394925E-2"/>
          <c:y val="0.13318904655634675"/>
          <c:w val="0.85950963833593963"/>
          <c:h val="0.58264691489834952"/>
        </c:manualLayout>
      </c:layout>
      <c:barChart>
        <c:barDir val="col"/>
        <c:grouping val="clustered"/>
        <c:ser>
          <c:idx val="0"/>
          <c:order val="0"/>
          <c:tx>
            <c:strRef>
              <c:f>'NC juin-16'!$B$71</c:f>
              <c:strCache>
                <c:ptCount val="1"/>
                <c:pt idx="0">
                  <c:v>T2-15</c:v>
                </c:pt>
              </c:strCache>
            </c:strRef>
          </c:tx>
          <c:dLbls>
            <c:dLbl>
              <c:idx val="5"/>
              <c:layout>
                <c:manualLayout>
                  <c:x val="-3.8888888888889014E-2"/>
                  <c:y val="-6.1443902684469465E-3"/>
                </c:manualLayout>
              </c:layout>
              <c:showVal val="1"/>
              <c:extLst>
                <c:ext xmlns:c15="http://schemas.microsoft.com/office/drawing/2012/chart" uri="{CE6537A1-D6FC-4f65-9D91-7224C49458BB}"/>
              </c:extLst>
            </c:dLbl>
            <c:spPr>
              <a:noFill/>
              <a:ln>
                <a:noFill/>
              </a:ln>
              <a:effectLst/>
            </c:spPr>
            <c:txPr>
              <a:bodyPr/>
              <a:lstStyle/>
              <a:p>
                <a:pPr>
                  <a:defRPr sz="800" b="1"/>
                </a:pPr>
                <a:endParaRPr lang="fr-FR"/>
              </a:p>
            </c:txPr>
            <c:showVal val="1"/>
            <c:extLst>
              <c:ext xmlns:c15="http://schemas.microsoft.com/office/drawing/2012/chart" uri="{CE6537A1-D6FC-4f65-9D91-7224C49458BB}">
                <c15:showLeaderLines val="0"/>
              </c:ext>
            </c:extLst>
          </c:dLbls>
          <c:cat>
            <c:strRef>
              <c:f>'NC juin-16'!$A$72:$A$77</c:f>
              <c:strCache>
                <c:ptCount val="6"/>
                <c:pt idx="0">
                  <c:v>Incendie</c:v>
                </c:pt>
                <c:pt idx="1">
                  <c:v>Automobile</c:v>
                </c:pt>
                <c:pt idx="2">
                  <c:v>Total Transports</c:v>
                </c:pt>
                <c:pt idx="3">
                  <c:v>Respons. civile Gén.</c:v>
                </c:pt>
                <c:pt idx="4">
                  <c:v>Maladie</c:v>
                </c:pt>
                <c:pt idx="5">
                  <c:v>Risques divers</c:v>
                </c:pt>
              </c:strCache>
            </c:strRef>
          </c:cat>
          <c:val>
            <c:numRef>
              <c:f>'NC juin-16'!$B$72:$B$77</c:f>
              <c:numCache>
                <c:formatCode>0.00</c:formatCode>
                <c:ptCount val="6"/>
                <c:pt idx="0">
                  <c:v>8.73</c:v>
                </c:pt>
                <c:pt idx="1">
                  <c:v>12.25</c:v>
                </c:pt>
                <c:pt idx="2">
                  <c:v>10.11</c:v>
                </c:pt>
                <c:pt idx="3">
                  <c:v>3.8299999999999987</c:v>
                </c:pt>
                <c:pt idx="4">
                  <c:v>8.7000000000000011</c:v>
                </c:pt>
                <c:pt idx="5">
                  <c:v>0.11000000000000003</c:v>
                </c:pt>
              </c:numCache>
            </c:numRef>
          </c:val>
        </c:ser>
        <c:ser>
          <c:idx val="1"/>
          <c:order val="1"/>
          <c:tx>
            <c:strRef>
              <c:f>'NC juin-16'!$C$71</c:f>
              <c:strCache>
                <c:ptCount val="1"/>
                <c:pt idx="0">
                  <c:v>T2-16</c:v>
                </c:pt>
              </c:strCache>
            </c:strRef>
          </c:tx>
          <c:dLbls>
            <c:dLbl>
              <c:idx val="5"/>
              <c:layout>
                <c:manualLayout>
                  <c:x val="-1.6666666666666725E-2"/>
                  <c:y val="0"/>
                </c:manualLayout>
              </c:layout>
              <c:showVal val="1"/>
              <c:extLst>
                <c:ext xmlns:c15="http://schemas.microsoft.com/office/drawing/2012/chart" uri="{CE6537A1-D6FC-4f65-9D91-7224C49458BB}"/>
              </c:extLst>
            </c:dLbl>
            <c:spPr>
              <a:noFill/>
              <a:ln>
                <a:noFill/>
              </a:ln>
              <a:effectLst/>
            </c:spPr>
            <c:txPr>
              <a:bodyPr/>
              <a:lstStyle/>
              <a:p>
                <a:pPr>
                  <a:defRPr sz="800" b="1"/>
                </a:pPr>
                <a:endParaRPr lang="fr-FR"/>
              </a:p>
            </c:txPr>
            <c:showVal val="1"/>
            <c:extLst>
              <c:ext xmlns:c15="http://schemas.microsoft.com/office/drawing/2012/chart" uri="{CE6537A1-D6FC-4f65-9D91-7224C49458BB}">
                <c15:showLeaderLines val="0"/>
              </c:ext>
            </c:extLst>
          </c:dLbls>
          <c:cat>
            <c:strRef>
              <c:f>'NC juin-16'!$A$72:$A$77</c:f>
              <c:strCache>
                <c:ptCount val="6"/>
                <c:pt idx="0">
                  <c:v>Incendie</c:v>
                </c:pt>
                <c:pt idx="1">
                  <c:v>Automobile</c:v>
                </c:pt>
                <c:pt idx="2">
                  <c:v>Total Transports</c:v>
                </c:pt>
                <c:pt idx="3">
                  <c:v>Respons. civile Gén.</c:v>
                </c:pt>
                <c:pt idx="4">
                  <c:v>Maladie</c:v>
                </c:pt>
                <c:pt idx="5">
                  <c:v>Risques divers</c:v>
                </c:pt>
              </c:strCache>
            </c:strRef>
          </c:cat>
          <c:val>
            <c:numRef>
              <c:f>'NC juin-16'!$C$72:$C$77</c:f>
              <c:numCache>
                <c:formatCode>0.00</c:formatCode>
                <c:ptCount val="6"/>
                <c:pt idx="0">
                  <c:v>7.91</c:v>
                </c:pt>
                <c:pt idx="1">
                  <c:v>11.19</c:v>
                </c:pt>
                <c:pt idx="2">
                  <c:v>8.06</c:v>
                </c:pt>
                <c:pt idx="3">
                  <c:v>3.3299999999999987</c:v>
                </c:pt>
                <c:pt idx="4">
                  <c:v>9.02</c:v>
                </c:pt>
                <c:pt idx="5">
                  <c:v>0.31000000000000144</c:v>
                </c:pt>
              </c:numCache>
            </c:numRef>
          </c:val>
        </c:ser>
        <c:dLbls>
          <c:showVal val="1"/>
        </c:dLbls>
        <c:overlap val="-25"/>
        <c:axId val="98295168"/>
        <c:axId val="98296960"/>
      </c:barChart>
      <c:catAx>
        <c:axId val="98295168"/>
        <c:scaling>
          <c:orientation val="minMax"/>
        </c:scaling>
        <c:axPos val="b"/>
        <c:numFmt formatCode="General" sourceLinked="0"/>
        <c:majorTickMark val="none"/>
        <c:tickLblPos val="nextTo"/>
        <c:txPr>
          <a:bodyPr/>
          <a:lstStyle/>
          <a:p>
            <a:pPr>
              <a:defRPr sz="800" b="1"/>
            </a:pPr>
            <a:endParaRPr lang="fr-FR"/>
          </a:p>
        </c:txPr>
        <c:crossAx val="98296960"/>
        <c:crosses val="autoZero"/>
        <c:auto val="1"/>
        <c:lblAlgn val="ctr"/>
        <c:lblOffset val="100"/>
      </c:catAx>
      <c:valAx>
        <c:axId val="98296960"/>
        <c:scaling>
          <c:orientation val="minMax"/>
        </c:scaling>
        <c:delete val="1"/>
        <c:axPos val="l"/>
        <c:numFmt formatCode="0.00" sourceLinked="1"/>
        <c:tickLblPos val="none"/>
        <c:crossAx val="98295168"/>
        <c:crosses val="autoZero"/>
        <c:crossBetween val="between"/>
      </c:valAx>
      <c:spPr>
        <a:solidFill>
          <a:schemeClr val="accent1">
            <a:lumMod val="40000"/>
            <a:lumOff val="60000"/>
          </a:schemeClr>
        </a:solidFill>
      </c:spPr>
    </c:plotArea>
    <c:legend>
      <c:legendPos val="t"/>
      <c:layout>
        <c:manualLayout>
          <c:xMode val="edge"/>
          <c:yMode val="edge"/>
          <c:x val="0.90172520744819074"/>
          <c:y val="0.42474211661533973"/>
          <c:w val="8.6225307217001126E-2"/>
          <c:h val="0.18831253967815839"/>
        </c:manualLayout>
      </c:layout>
      <c:txPr>
        <a:bodyPr/>
        <a:lstStyle/>
        <a:p>
          <a:pPr>
            <a:defRPr sz="800" b="1"/>
          </a:pPr>
          <a:endParaRPr lang="fr-FR"/>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fr-FR"/>
  <c:chart>
    <c:autoTitleDeleted val="1"/>
    <c:plotArea>
      <c:layout>
        <c:manualLayout>
          <c:layoutTarget val="inner"/>
          <c:xMode val="edge"/>
          <c:yMode val="edge"/>
          <c:x val="0.10550218722659672"/>
          <c:y val="5.1400554097404488E-2"/>
          <c:w val="0.78322063702433264"/>
          <c:h val="0.72510833955974485"/>
        </c:manualLayout>
      </c:layout>
      <c:barChart>
        <c:barDir val="col"/>
        <c:grouping val="clustered"/>
        <c:ser>
          <c:idx val="0"/>
          <c:order val="0"/>
          <c:tx>
            <c:strRef>
              <c:f>'NC juin-16'!$B$58</c:f>
              <c:strCache>
                <c:ptCount val="1"/>
                <c:pt idx="0">
                  <c:v>T2-15</c:v>
                </c:pt>
              </c:strCache>
            </c:strRef>
          </c:tx>
          <c:dLbls>
            <c:dLbl>
              <c:idx val="0"/>
              <c:tx>
                <c:rich>
                  <a:bodyPr/>
                  <a:lstStyle/>
                  <a:p>
                    <a:r>
                      <a:rPr lang="en-US"/>
                      <a:t>4,36</a:t>
                    </a:r>
                  </a:p>
                </c:rich>
              </c:tx>
              <c:showVal val="1"/>
              <c:extLst>
                <c:ext xmlns:c15="http://schemas.microsoft.com/office/drawing/2012/chart" uri="{CE6537A1-D6FC-4f65-9D91-7224C49458BB}"/>
              </c:extLst>
            </c:dLbl>
            <c:spPr>
              <a:noFill/>
              <a:ln>
                <a:noFill/>
              </a:ln>
              <a:effectLst/>
            </c:spPr>
            <c:txPr>
              <a:bodyPr/>
              <a:lstStyle/>
              <a:p>
                <a:pPr>
                  <a:defRPr sz="800" b="1"/>
                </a:pPr>
                <a:endParaRPr lang="fr-FR"/>
              </a:p>
            </c:txPr>
            <c:showVal val="1"/>
            <c:extLst>
              <c:ext xmlns:c15="http://schemas.microsoft.com/office/drawing/2012/chart" uri="{CE6537A1-D6FC-4f65-9D91-7224C49458BB}">
                <c15:showLeaderLines val="0"/>
              </c:ext>
            </c:extLst>
          </c:dLbls>
          <c:cat>
            <c:strRef>
              <c:f>'NC juin-16'!$A$59:$A$61</c:f>
              <c:strCache>
                <c:ptCount val="3"/>
                <c:pt idx="0">
                  <c:v>Epargne-retraite</c:v>
                </c:pt>
                <c:pt idx="1">
                  <c:v>Mixte</c:v>
                </c:pt>
                <c:pt idx="2">
                  <c:v>Décès</c:v>
                </c:pt>
              </c:strCache>
            </c:strRef>
          </c:cat>
          <c:val>
            <c:numRef>
              <c:f>'NC juin-16'!$B$59:$B$61</c:f>
              <c:numCache>
                <c:formatCode>0.00</c:formatCode>
                <c:ptCount val="3"/>
                <c:pt idx="0">
                  <c:v>4.3269999999999955</c:v>
                </c:pt>
                <c:pt idx="1">
                  <c:v>0.82600000000000062</c:v>
                </c:pt>
                <c:pt idx="2">
                  <c:v>3.0680000000000001</c:v>
                </c:pt>
              </c:numCache>
            </c:numRef>
          </c:val>
        </c:ser>
        <c:ser>
          <c:idx val="1"/>
          <c:order val="1"/>
          <c:tx>
            <c:strRef>
              <c:f>'NC juin-16'!$C$58</c:f>
              <c:strCache>
                <c:ptCount val="1"/>
                <c:pt idx="0">
                  <c:v>T2-16</c:v>
                </c:pt>
              </c:strCache>
            </c:strRef>
          </c:tx>
          <c:dLbls>
            <c:spPr>
              <a:noFill/>
              <a:ln>
                <a:noFill/>
              </a:ln>
              <a:effectLst/>
            </c:spPr>
            <c:txPr>
              <a:bodyPr/>
              <a:lstStyle/>
              <a:p>
                <a:pPr>
                  <a:defRPr sz="800" b="1"/>
                </a:pPr>
                <a:endParaRPr lang="fr-FR"/>
              </a:p>
            </c:txPr>
            <c:showVal val="1"/>
            <c:extLst>
              <c:ext xmlns:c15="http://schemas.microsoft.com/office/drawing/2012/chart" uri="{CE6537A1-D6FC-4f65-9D91-7224C49458BB}">
                <c15:showLeaderLines val="0"/>
              </c:ext>
            </c:extLst>
          </c:dLbls>
          <c:cat>
            <c:strRef>
              <c:f>'NC juin-16'!$A$59:$A$61</c:f>
              <c:strCache>
                <c:ptCount val="3"/>
                <c:pt idx="0">
                  <c:v>Epargne-retraite</c:v>
                </c:pt>
                <c:pt idx="1">
                  <c:v>Mixte</c:v>
                </c:pt>
                <c:pt idx="2">
                  <c:v>Décès</c:v>
                </c:pt>
              </c:strCache>
            </c:strRef>
          </c:cat>
          <c:val>
            <c:numRef>
              <c:f>'NC juin-16'!$C$59:$C$61</c:f>
              <c:numCache>
                <c:formatCode>0.00</c:formatCode>
                <c:ptCount val="3"/>
                <c:pt idx="0">
                  <c:v>4.5389999999999997</c:v>
                </c:pt>
                <c:pt idx="1">
                  <c:v>0.97100000000000064</c:v>
                </c:pt>
                <c:pt idx="2">
                  <c:v>3.2</c:v>
                </c:pt>
              </c:numCache>
            </c:numRef>
          </c:val>
        </c:ser>
        <c:dLbls>
          <c:showVal val="1"/>
        </c:dLbls>
        <c:gapWidth val="75"/>
        <c:axId val="98359168"/>
        <c:axId val="98360704"/>
      </c:barChart>
      <c:catAx>
        <c:axId val="98359168"/>
        <c:scaling>
          <c:orientation val="minMax"/>
        </c:scaling>
        <c:axPos val="b"/>
        <c:numFmt formatCode="General" sourceLinked="0"/>
        <c:majorTickMark val="none"/>
        <c:tickLblPos val="nextTo"/>
        <c:txPr>
          <a:bodyPr/>
          <a:lstStyle/>
          <a:p>
            <a:pPr>
              <a:defRPr sz="900" b="1"/>
            </a:pPr>
            <a:endParaRPr lang="fr-FR"/>
          </a:p>
        </c:txPr>
        <c:crossAx val="98360704"/>
        <c:crosses val="autoZero"/>
        <c:auto val="1"/>
        <c:lblAlgn val="ctr"/>
        <c:lblOffset val="100"/>
      </c:catAx>
      <c:valAx>
        <c:axId val="98360704"/>
        <c:scaling>
          <c:orientation val="minMax"/>
        </c:scaling>
        <c:axPos val="l"/>
        <c:numFmt formatCode="0.00" sourceLinked="1"/>
        <c:majorTickMark val="none"/>
        <c:tickLblPos val="nextTo"/>
        <c:txPr>
          <a:bodyPr/>
          <a:lstStyle/>
          <a:p>
            <a:pPr>
              <a:defRPr sz="800" b="1"/>
            </a:pPr>
            <a:endParaRPr lang="fr-FR"/>
          </a:p>
        </c:txPr>
        <c:crossAx val="98359168"/>
        <c:crosses val="autoZero"/>
        <c:crossBetween val="between"/>
      </c:valAx>
      <c:spPr>
        <a:solidFill>
          <a:schemeClr val="accent1">
            <a:lumMod val="40000"/>
            <a:lumOff val="60000"/>
          </a:schemeClr>
        </a:solidFill>
      </c:spPr>
    </c:plotArea>
    <c:legend>
      <c:legendPos val="b"/>
      <c:layout>
        <c:manualLayout>
          <c:xMode val="edge"/>
          <c:yMode val="edge"/>
          <c:x val="0.8645227339477769"/>
          <c:y val="0.32369021580635782"/>
          <c:w val="0.13468212565791618"/>
          <c:h val="0.19019867308253136"/>
        </c:manualLayout>
      </c:layout>
      <c:txPr>
        <a:bodyPr/>
        <a:lstStyle/>
        <a:p>
          <a:pPr>
            <a:defRPr sz="900" b="1"/>
          </a:pPr>
          <a:endParaRPr lang="fr-FR"/>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800"/>
              <a:t>Parts de marché au 2ème trimestre 2015</a:t>
            </a:r>
          </a:p>
        </c:rich>
      </c:tx>
      <c:spPr>
        <a:solidFill>
          <a:schemeClr val="accent1">
            <a:lumMod val="40000"/>
            <a:lumOff val="60000"/>
          </a:schemeClr>
        </a:solidFill>
      </c:spPr>
    </c:title>
    <c:plotArea>
      <c:layout>
        <c:manualLayout>
          <c:layoutTarget val="inner"/>
          <c:xMode val="edge"/>
          <c:yMode val="edge"/>
          <c:x val="0.22029919527385811"/>
          <c:y val="0.15460727409073871"/>
          <c:w val="0.52321128175809706"/>
          <c:h val="0.84539272590925718"/>
        </c:manualLayout>
      </c:layout>
      <c:pieChart>
        <c:varyColors val="1"/>
        <c:ser>
          <c:idx val="0"/>
          <c:order val="0"/>
          <c:tx>
            <c:strRef>
              <c:f>'NC juin-16'!$M$24</c:f>
              <c:strCache>
                <c:ptCount val="1"/>
                <c:pt idx="0">
                  <c:v>T2-15</c:v>
                </c:pt>
              </c:strCache>
            </c:strRef>
          </c:tx>
          <c:dLbls>
            <c:dLbl>
              <c:idx val="0"/>
              <c:tx>
                <c:rich>
                  <a:bodyPr/>
                  <a:lstStyle/>
                  <a:p>
                    <a:r>
                      <a:rPr lang="en-US"/>
                      <a:t>Groupe OGAR
44%</a:t>
                    </a:r>
                  </a:p>
                </c:rich>
              </c:tx>
              <c:showCatName val="1"/>
              <c:showPercent val="1"/>
              <c:extLst>
                <c:ext xmlns:c15="http://schemas.microsoft.com/office/drawing/2012/chart" uri="{CE6537A1-D6FC-4f65-9D91-7224C49458BB}"/>
              </c:extLst>
            </c:dLbl>
            <c:dLbl>
              <c:idx val="1"/>
              <c:tx>
                <c:rich>
                  <a:bodyPr/>
                  <a:lstStyle/>
                  <a:p>
                    <a:r>
                      <a:rPr lang="en-US"/>
                      <a:t>Groupe NSIA
16%</a:t>
                    </a:r>
                  </a:p>
                </c:rich>
              </c:tx>
              <c:showCatName val="1"/>
              <c:showPercent val="1"/>
              <c:extLst>
                <c:ext xmlns:c15="http://schemas.microsoft.com/office/drawing/2012/chart" uri="{CE6537A1-D6FC-4f65-9D91-7224C49458BB}"/>
              </c:extLst>
            </c:dLbl>
            <c:dLbl>
              <c:idx val="2"/>
              <c:layout>
                <c:manualLayout>
                  <c:x val="0.1099347730048602"/>
                  <c:y val="-0.10549021372328542"/>
                </c:manualLayout>
              </c:layout>
              <c:tx>
                <c:rich>
                  <a:bodyPr/>
                  <a:lstStyle/>
                  <a:p>
                    <a:r>
                      <a:rPr lang="en-US"/>
                      <a:t>ASSINCO
9%</a:t>
                    </a:r>
                  </a:p>
                </c:rich>
              </c:tx>
              <c:showCatName val="1"/>
              <c:showPercent val="1"/>
              <c:extLst>
                <c:ext xmlns:c15="http://schemas.microsoft.com/office/drawing/2012/chart" uri="{CE6537A1-D6FC-4f65-9D91-7224C49458BB}"/>
              </c:extLst>
            </c:dLbl>
            <c:dLbl>
              <c:idx val="3"/>
              <c:tx>
                <c:rich>
                  <a:bodyPr/>
                  <a:lstStyle/>
                  <a:p>
                    <a:r>
                      <a:rPr lang="en-US"/>
                      <a:t>AXA
16%</a:t>
                    </a:r>
                  </a:p>
                </c:rich>
              </c:tx>
              <c:showCatName val="1"/>
              <c:showPercent val="1"/>
              <c:extLst>
                <c:ext xmlns:c15="http://schemas.microsoft.com/office/drawing/2012/chart" uri="{CE6537A1-D6FC-4f65-9D91-7224C49458BB}"/>
              </c:extLst>
            </c:dLbl>
            <c:dLbl>
              <c:idx val="4"/>
              <c:layout>
                <c:manualLayout>
                  <c:x val="8.5276763933920044E-2"/>
                  <c:y val="0.15774077160364888"/>
                </c:manualLayout>
              </c:layout>
              <c:tx>
                <c:rich>
                  <a:bodyPr/>
                  <a:lstStyle/>
                  <a:p>
                    <a:r>
                      <a:rPr lang="en-US"/>
                      <a:t>SAHAM
10%</a:t>
                    </a:r>
                  </a:p>
                </c:rich>
              </c:tx>
              <c:showCatName val="1"/>
              <c:showPercent val="1"/>
              <c:extLst>
                <c:ext xmlns:c15="http://schemas.microsoft.com/office/drawing/2012/chart" uri="{CE6537A1-D6FC-4f65-9D91-7224C49458BB}"/>
              </c:extLst>
            </c:dLbl>
            <c:dLbl>
              <c:idx val="5"/>
              <c:layout>
                <c:manualLayout>
                  <c:x val="6.5362235602902594E-2"/>
                  <c:y val="0.16651995423648971"/>
                </c:manualLayout>
              </c:layout>
              <c:showCatName val="1"/>
              <c:showPercent val="1"/>
              <c:extLst>
                <c:ext xmlns:c15="http://schemas.microsoft.com/office/drawing/2012/chart" uri="{CE6537A1-D6FC-4f65-9D91-7224C49458BB}"/>
              </c:extLst>
            </c:dLbl>
            <c:spPr>
              <a:noFill/>
              <a:ln>
                <a:noFill/>
              </a:ln>
              <a:effectLst/>
            </c:spPr>
            <c:txPr>
              <a:bodyPr/>
              <a:lstStyle/>
              <a:p>
                <a:pPr>
                  <a:defRPr sz="600" b="1"/>
                </a:pPr>
                <a:endParaRPr lang="fr-FR"/>
              </a:p>
            </c:txPr>
            <c:showCatName val="1"/>
            <c:showPercent val="1"/>
            <c:showLeaderLines val="1"/>
            <c:extLst>
              <c:ext xmlns:c15="http://schemas.microsoft.com/office/drawing/2012/chart" uri="{CE6537A1-D6FC-4f65-9D91-7224C49458BB}"/>
            </c:extLst>
          </c:dLbls>
          <c:cat>
            <c:strRef>
              <c:f>'NC juin-16'!$L$25:$L$30</c:f>
              <c:strCache>
                <c:ptCount val="6"/>
                <c:pt idx="0">
                  <c:v>Groupe OGAR</c:v>
                </c:pt>
                <c:pt idx="1">
                  <c:v>Groupe NSIA</c:v>
                </c:pt>
                <c:pt idx="2">
                  <c:v>ASSINCO</c:v>
                </c:pt>
                <c:pt idx="3">
                  <c:v>AXA</c:v>
                </c:pt>
                <c:pt idx="4">
                  <c:v>SAHAM</c:v>
                </c:pt>
                <c:pt idx="5">
                  <c:v>SUNU ASSUR</c:v>
                </c:pt>
              </c:strCache>
            </c:strRef>
          </c:cat>
          <c:val>
            <c:numRef>
              <c:f>'NC juin-16'!$M$25:$M$30</c:f>
              <c:numCache>
                <c:formatCode>0.00</c:formatCode>
                <c:ptCount val="6"/>
                <c:pt idx="0">
                  <c:v>25.88</c:v>
                </c:pt>
                <c:pt idx="1">
                  <c:v>9.69</c:v>
                </c:pt>
                <c:pt idx="2">
                  <c:v>5.33</c:v>
                </c:pt>
                <c:pt idx="3">
                  <c:v>9.2900000000000009</c:v>
                </c:pt>
                <c:pt idx="4">
                  <c:v>6.1659999999999764</c:v>
                </c:pt>
                <c:pt idx="5">
                  <c:v>3.03</c:v>
                </c:pt>
              </c:numCache>
            </c:numRef>
          </c:val>
        </c:ser>
        <c:dLbls>
          <c:showCatName val="1"/>
          <c:showPercent val="1"/>
        </c:dLbls>
        <c:firstSliceAng val="0"/>
      </c:pieChart>
    </c:plotArea>
    <c:plotVisOnly val="1"/>
    <c:dispBlanksAs val="zero"/>
  </c:chart>
  <c:spPr>
    <a:solidFill>
      <a:schemeClr val="accent1">
        <a:lumMod val="40000"/>
        <a:lumOff val="60000"/>
      </a:schemeClr>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en-US" sz="800"/>
              <a:t>Parts de marché au 2ème trimestre 2016</a:t>
            </a:r>
          </a:p>
        </c:rich>
      </c:tx>
    </c:title>
    <c:plotArea>
      <c:layout>
        <c:manualLayout>
          <c:layoutTarget val="inner"/>
          <c:xMode val="edge"/>
          <c:yMode val="edge"/>
          <c:x val="0.25308385232333763"/>
          <c:y val="0.16655447480829624"/>
          <c:w val="0.55191719902936331"/>
          <c:h val="0.83344529910639864"/>
        </c:manualLayout>
      </c:layout>
      <c:pieChart>
        <c:varyColors val="1"/>
        <c:ser>
          <c:idx val="0"/>
          <c:order val="0"/>
          <c:tx>
            <c:strRef>
              <c:f>'NC juin-16'!$Q$24</c:f>
              <c:strCache>
                <c:ptCount val="1"/>
                <c:pt idx="0">
                  <c:v>T2-16</c:v>
                </c:pt>
              </c:strCache>
            </c:strRef>
          </c:tx>
          <c:dLbls>
            <c:dLbl>
              <c:idx val="1"/>
              <c:layout>
                <c:manualLayout>
                  <c:x val="0.1179874213836478"/>
                  <c:y val="-5.6762702350067522E-2"/>
                </c:manualLayout>
              </c:layout>
              <c:showCatName val="1"/>
              <c:showPercent val="1"/>
              <c:extLst>
                <c:ext xmlns:c15="http://schemas.microsoft.com/office/drawing/2012/chart" uri="{CE6537A1-D6FC-4f65-9D91-7224C49458BB}"/>
              </c:extLst>
            </c:dLbl>
            <c:dLbl>
              <c:idx val="2"/>
              <c:layout>
                <c:manualLayout>
                  <c:x val="0.13842794040988779"/>
                  <c:y val="-0.14218742888352828"/>
                </c:manualLayout>
              </c:layout>
              <c:showCatName val="1"/>
              <c:showPercent val="1"/>
              <c:extLst>
                <c:ext xmlns:c15="http://schemas.microsoft.com/office/drawing/2012/chart" uri="{CE6537A1-D6FC-4f65-9D91-7224C49458BB}"/>
              </c:extLst>
            </c:dLbl>
            <c:dLbl>
              <c:idx val="4"/>
              <c:layout>
                <c:manualLayout>
                  <c:x val="0.11560406052184653"/>
                  <c:y val="0.24631067232178633"/>
                </c:manualLayout>
              </c:layout>
              <c:showCatName val="1"/>
              <c:showPercent val="1"/>
              <c:extLst>
                <c:ext xmlns:c15="http://schemas.microsoft.com/office/drawing/2012/chart" uri="{CE6537A1-D6FC-4f65-9D91-7224C49458BB}"/>
              </c:extLst>
            </c:dLbl>
            <c:dLbl>
              <c:idx val="5"/>
              <c:layout>
                <c:manualLayout>
                  <c:x val="4.5811461067366832E-2"/>
                  <c:y val="0.17895884090721947"/>
                </c:manualLayout>
              </c:layout>
              <c:showCatName val="1"/>
              <c:showPercent val="1"/>
              <c:extLst>
                <c:ext xmlns:c15="http://schemas.microsoft.com/office/drawing/2012/chart" uri="{CE6537A1-D6FC-4f65-9D91-7224C49458BB}"/>
              </c:extLst>
            </c:dLbl>
            <c:spPr>
              <a:noFill/>
              <a:ln>
                <a:noFill/>
              </a:ln>
              <a:effectLst/>
            </c:spPr>
            <c:txPr>
              <a:bodyPr/>
              <a:lstStyle/>
              <a:p>
                <a:pPr>
                  <a:defRPr sz="700" b="1"/>
                </a:pPr>
                <a:endParaRPr lang="fr-FR"/>
              </a:p>
            </c:txPr>
            <c:showCatName val="1"/>
            <c:showPercent val="1"/>
            <c:showLeaderLines val="1"/>
            <c:extLst>
              <c:ext xmlns:c15="http://schemas.microsoft.com/office/drawing/2012/chart" uri="{CE6537A1-D6FC-4f65-9D91-7224C49458BB}"/>
            </c:extLst>
          </c:dLbls>
          <c:cat>
            <c:strRef>
              <c:f>'NC juin-16'!$P$25:$P$30</c:f>
              <c:strCache>
                <c:ptCount val="6"/>
                <c:pt idx="0">
                  <c:v>Groupe OGAR</c:v>
                </c:pt>
                <c:pt idx="1">
                  <c:v>Groupe NSIA</c:v>
                </c:pt>
                <c:pt idx="2">
                  <c:v>ASSINCO</c:v>
                </c:pt>
                <c:pt idx="3">
                  <c:v>AXA</c:v>
                </c:pt>
                <c:pt idx="4">
                  <c:v>SAHAM</c:v>
                </c:pt>
                <c:pt idx="5">
                  <c:v>SUNU Assur</c:v>
                </c:pt>
              </c:strCache>
            </c:strRef>
          </c:cat>
          <c:val>
            <c:numRef>
              <c:f>'NC juin-16'!$Q$25:$Q$30</c:f>
              <c:numCache>
                <c:formatCode>0.00</c:formatCode>
                <c:ptCount val="6"/>
                <c:pt idx="0">
                  <c:v>26.459999999999987</c:v>
                </c:pt>
                <c:pt idx="1">
                  <c:v>8.27</c:v>
                </c:pt>
                <c:pt idx="2">
                  <c:v>4.2</c:v>
                </c:pt>
                <c:pt idx="3">
                  <c:v>9.3800000000000008</c:v>
                </c:pt>
                <c:pt idx="4">
                  <c:v>4.2210000000000001</c:v>
                </c:pt>
                <c:pt idx="5">
                  <c:v>3.03</c:v>
                </c:pt>
              </c:numCache>
            </c:numRef>
          </c:val>
        </c:ser>
        <c:dLbls>
          <c:showCatName val="1"/>
          <c:showPercent val="1"/>
        </c:dLbls>
        <c:firstSliceAng val="0"/>
      </c:pieChart>
    </c:plotArea>
    <c:plotVisOnly val="1"/>
    <c:dispBlanksAs val="zero"/>
  </c:chart>
  <c:spPr>
    <a:solidFill>
      <a:schemeClr val="accent1">
        <a:lumMod val="40000"/>
        <a:lumOff val="60000"/>
      </a:schemeClr>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'sept-15'!$K$3</c:f>
              <c:strCache>
                <c:ptCount val="1"/>
                <c:pt idx="0">
                  <c:v>Avoirs extérieurs nets</c:v>
                </c:pt>
              </c:strCache>
            </c:strRef>
          </c:tx>
          <c:cat>
            <c:strRef>
              <c:f>'juin-16'!$P$6:$R$6</c:f>
              <c:strCache>
                <c:ptCount val="3"/>
                <c:pt idx="0">
                  <c:v>juin-14</c:v>
                </c:pt>
                <c:pt idx="1">
                  <c:v>juin-15</c:v>
                </c:pt>
                <c:pt idx="2">
                  <c:v>juin-16</c:v>
                </c:pt>
              </c:strCache>
            </c:strRef>
          </c:cat>
          <c:val>
            <c:numRef>
              <c:f>'juin-16'!$P$7:$R$7</c:f>
              <c:numCache>
                <c:formatCode>0.0</c:formatCode>
                <c:ptCount val="3"/>
                <c:pt idx="0">
                  <c:v>1436.6</c:v>
                </c:pt>
                <c:pt idx="1">
                  <c:v>1425.4</c:v>
                </c:pt>
                <c:pt idx="2">
                  <c:v>930.2</c:v>
                </c:pt>
              </c:numCache>
            </c:numRef>
          </c:val>
        </c:ser>
        <c:ser>
          <c:idx val="1"/>
          <c:order val="1"/>
          <c:tx>
            <c:strRef>
              <c:f>'sept-15'!$K$4</c:f>
              <c:strCache>
                <c:ptCount val="1"/>
                <c:pt idx="0">
                  <c:v>Crédits intérieurs nets</c:v>
                </c:pt>
              </c:strCache>
            </c:strRef>
          </c:tx>
          <c:cat>
            <c:strRef>
              <c:f>'juin-16'!$P$6:$R$6</c:f>
              <c:strCache>
                <c:ptCount val="3"/>
                <c:pt idx="0">
                  <c:v>juin-14</c:v>
                </c:pt>
                <c:pt idx="1">
                  <c:v>juin-15</c:v>
                </c:pt>
                <c:pt idx="2">
                  <c:v>juin-16</c:v>
                </c:pt>
              </c:strCache>
            </c:strRef>
          </c:cat>
          <c:val>
            <c:numRef>
              <c:f>'juin-16'!$P$8:$R$8</c:f>
              <c:numCache>
                <c:formatCode>0.0</c:formatCode>
                <c:ptCount val="3"/>
                <c:pt idx="0">
                  <c:v>1028.4000000000001</c:v>
                </c:pt>
                <c:pt idx="1">
                  <c:v>976.4</c:v>
                </c:pt>
                <c:pt idx="2">
                  <c:v>1505.5</c:v>
                </c:pt>
              </c:numCache>
            </c:numRef>
          </c:val>
        </c:ser>
        <c:ser>
          <c:idx val="2"/>
          <c:order val="2"/>
          <c:tx>
            <c:strRef>
              <c:f>'sept-15'!$K$5</c:f>
              <c:strCache>
                <c:ptCount val="1"/>
                <c:pt idx="0">
                  <c:v>Monnaie au sens large</c:v>
                </c:pt>
              </c:strCache>
            </c:strRef>
          </c:tx>
          <c:cat>
            <c:strRef>
              <c:f>'juin-16'!$P$6:$R$6</c:f>
              <c:strCache>
                <c:ptCount val="3"/>
                <c:pt idx="0">
                  <c:v>juin-14</c:v>
                </c:pt>
                <c:pt idx="1">
                  <c:v>juin-15</c:v>
                </c:pt>
                <c:pt idx="2">
                  <c:v>juin-16</c:v>
                </c:pt>
              </c:strCache>
            </c:strRef>
          </c:cat>
          <c:val>
            <c:numRef>
              <c:f>'juin-16'!$P$9:$R$9</c:f>
              <c:numCache>
                <c:formatCode>0.0</c:formatCode>
                <c:ptCount val="3"/>
                <c:pt idx="0">
                  <c:v>2206.8000000000002</c:v>
                </c:pt>
                <c:pt idx="1">
                  <c:v>2180.9</c:v>
                </c:pt>
                <c:pt idx="2">
                  <c:v>2213.4</c:v>
                </c:pt>
              </c:numCache>
            </c:numRef>
          </c:val>
        </c:ser>
        <c:axId val="149164416"/>
        <c:axId val="149165952"/>
      </c:barChart>
      <c:catAx>
        <c:axId val="149164416"/>
        <c:scaling>
          <c:orientation val="minMax"/>
        </c:scaling>
        <c:axPos val="b"/>
        <c:numFmt formatCode="General" sourceLinked="1"/>
        <c:tickLblPos val="nextTo"/>
        <c:crossAx val="149165952"/>
        <c:crosses val="autoZero"/>
        <c:auto val="1"/>
        <c:lblAlgn val="ctr"/>
        <c:lblOffset val="100"/>
      </c:catAx>
      <c:valAx>
        <c:axId val="149165952"/>
        <c:scaling>
          <c:orientation val="minMax"/>
        </c:scaling>
        <c:axPos val="l"/>
        <c:majorGridlines/>
        <c:numFmt formatCode="0.0" sourceLinked="1"/>
        <c:tickLblPos val="nextTo"/>
        <c:crossAx val="149164416"/>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61</Pages>
  <Words>16815</Words>
  <Characters>92484</Characters>
  <Application>Microsoft Office Word</Application>
  <DocSecurity>0</DocSecurity>
  <Lines>770</Lines>
  <Paragraphs>218</Paragraphs>
  <ScaleCrop>false</ScaleCrop>
  <Company/>
  <LinksUpToDate>false</LinksUpToDate>
  <CharactersWithSpaces>109081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DSERA</dc:creator>
  <cp:lastModifiedBy>DSERA</cp:lastModifiedBy>
  <cp:revision>1</cp:revision>
  <dcterms:created xsi:type="dcterms:W3CDTF">2016-10-27T12:26:00Z</dcterms:created>
  <dcterms:modified xsi:type="dcterms:W3CDTF">2016-10-27T12:28:00Z</dcterms:modified>
</cp:coreProperties>
</file>